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2" w:rsidRPr="00B319D9" w:rsidRDefault="00605E82" w:rsidP="00605E82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</w:rPr>
        <w:t>CEF-TC-2019-2</w:t>
      </w:r>
      <w:r w:rsidRPr="00B319D9">
        <w:rPr>
          <w:rFonts w:ascii="Times New Roman" w:hAnsi="Times New Roman"/>
          <w:b/>
          <w:szCs w:val="24"/>
        </w:rPr>
        <w:t>: Електронно здравеопазване (</w:t>
      </w:r>
      <w:r w:rsidRPr="00B319D9">
        <w:rPr>
          <w:rFonts w:ascii="Times New Roman" w:hAnsi="Times New Roman"/>
          <w:b/>
          <w:szCs w:val="24"/>
          <w:lang w:val="en-US"/>
        </w:rPr>
        <w:t>eHealth)</w:t>
      </w:r>
    </w:p>
    <w:p w:rsidR="00605E82" w:rsidRPr="00B319D9" w:rsidRDefault="00605E82" w:rsidP="00605E82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Директива 2011/24/ЕС за упражняване на правата на пациентите при трансгранично здравно обслужване</w:t>
      </w:r>
      <w:r w:rsidRPr="00B319D9">
        <w:rPr>
          <w:rFonts w:ascii="Times New Roman" w:hAnsi="Times New Roman"/>
          <w:szCs w:val="24"/>
        </w:rPr>
        <w:t xml:space="preserve"> 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насърчава сътрудничеството и обмена на информация между държавите членки с цел предоставяне на устойчиви системи и услуги за електронно здравеопазване на европейско равнище.</w:t>
      </w:r>
    </w:p>
    <w:p w:rsidR="00605E82" w:rsidRPr="00B319D9" w:rsidRDefault="00605E82" w:rsidP="00605E82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През 2017 г. Европейската комисия подкрепи държавите членки в разработването и разгръщането на националните звена за контакт за електронното здравеопазване и въведе рамки за тестване и одит, които да бъдат използвани за оценка на готовността на страната да се присъедини към трансграничните информационни услуги в областта на електронното здравеопазване. 22 държави членки вече са получили финансиране, за да създадат свои национални звена за контакт в областта на електронното здравеопазване, които да започнат да обменят трансгранични данни за електронните рецепти и здравните досиета на пациентите.</w:t>
      </w:r>
    </w:p>
    <w:p w:rsidR="00605E82" w:rsidRPr="00B319D9" w:rsidRDefault="00605E82" w:rsidP="00605E82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През 2019 г. подкрепата ще продължи да бъде насочена към създаването и по-нататъшното техническо развитие на националните звена за контакт в областта на електронното здравеопазване, за да се даде възможност за трансграничния обмен на данни от електронни рецепти и здравните досиета на пациенти. Това включва разходите за привеждане в съответствие с новите изисквания за тези държави, които вече предоставят услугите. Акцентът ще бъде както върху държавите, които все още желаят да се присъединят към трансграничния обмен на данни, така и към държавите, които вече са създали своите национални звена за контакт в областта на електронното здравеопазване и биха искали да разширят своите услуги. През 2019 г. няма да се предоставя финансова подкрепа за 24-те Европейски референтни мрежи (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ERNs)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.</w:t>
      </w:r>
    </w:p>
    <w:p w:rsidR="00605E82" w:rsidRPr="00B319D9" w:rsidRDefault="00605E82" w:rsidP="00605E82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</w:rPr>
        <w:t>Предложението за проект следва да се подаде само от една организация, не е позволено създаване на консорциум. Тази организация трябва да има подкрепата на националния орган, отговарящ за електронното здравеопазване.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</w:t>
      </w: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</w:rPr>
        <w:t>Максималното съфинансиране за държава е 1 млн. евро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. Ще се дава приоритет на предложения за проекти на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>: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(1) нови държави или региони, които се присъединяват към обмена на данни от електронни рецепти и данни за пациенти и (2) държави, които добавят нови услуги и създават нови възможности за обмен с държави, които вече са се присъединили към нея. Възможността за свързване с националната инфраструктура ще бъде важен елемент от оценката на въздействието. </w:t>
      </w:r>
    </w:p>
    <w:p w:rsidR="00605E82" w:rsidRPr="00B319D9" w:rsidRDefault="00605E82" w:rsidP="00605E82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Бюджетът е 5 млн. евро, т.е. ще бъдат финансирани 5 проекта. Очаква се проектите да бъдат с продължителност 2-4 години. Финансирането от ЕК е до 75 % от допустимите преки разходи плюс 7 % непреки разходи.</w:t>
      </w:r>
    </w:p>
    <w:p w:rsidR="00770358" w:rsidRDefault="00770358">
      <w:bookmarkStart w:id="0" w:name="_GoBack"/>
      <w:bookmarkEnd w:id="0"/>
    </w:p>
    <w:sectPr w:rsidR="007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A35"/>
    <w:multiLevelType w:val="hybridMultilevel"/>
    <w:tmpl w:val="A6D83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2"/>
    <w:rsid w:val="00605E82"/>
    <w:rsid w:val="007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3A23-9F8B-47FF-9B77-B9A53AA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Kaneva</dc:creator>
  <cp:keywords/>
  <dc:description/>
  <cp:lastModifiedBy>Eli Kaneva</cp:lastModifiedBy>
  <cp:revision>1</cp:revision>
  <dcterms:created xsi:type="dcterms:W3CDTF">2019-06-24T06:33:00Z</dcterms:created>
  <dcterms:modified xsi:type="dcterms:W3CDTF">2019-06-24T06:33:00Z</dcterms:modified>
</cp:coreProperties>
</file>