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НАРЕДБА № 15 от 17.01.2024 г. за предаване и приемане на отпадъци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Издадена от министъра на транспорта и съобщенията, обн., ДВ, бр. 8 от 26.01.2024 г., в сила от 26.01.2024 г.</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(1) С тази наредба се уреждат условията и редът за предаване и приемане на отпадъци от всички кораби, които посещават пристанищата на Република България, независимо от знамето, под което плават.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Тази наредба не се прилага за кораби, извършващи пристанищни услуги по смисъла на чл. 1, параграф 2 от Регламент (ЕС) 2017/352 на Европейския парламент и на Съвета от 15 февруари 2017 г. за създаване на рамка за предоставянето на пристанищни услуги и общи правила за финансовата прозрачност на пристанищата (ОВ, L 57 от 2017), за военни, гранично-полицейски и държавни кораби, както и за военноморски плаващи технически средства, посещаващи пристанищата на Република България, освен в случаите, когато се използват за търговски цели.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Изпълнителна агенция "Морска администрация" (ИА "Морска администрация") осъществява контрол по спазването на изискванията на тази наредба чрез териториалните си дирекции.</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Уведомяване и ред за предаване на отпадъци от кораби в морски пристанища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(1) За кораб с бруто тонаж 300 тона и повече, посещаващ пристанище на Република България, до директора на съответната териториална дирекция на ИА "Морска администрация" се подава предварително уведомление за предаване на отпадъци от кораби в пристанищни приемни съоръжения съгласно чл. 32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приета с Постановление № 186 на Министерския съвет от 23.08.2012 г. (обн., ДВ, бр. 67 от 2012 г.; изм. и доп., бр. 37 от 2014 г., бр. 12 от 2017 г.; изм., бр. 55 от 2017 г.; изм. и доп., бр. 69 от 2020 г. и бр. 37 от 2021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се съхранява на борда, за предпочитане в електронен формат, най-малко до следващото влизане в пристанище и се предоставя при поискване на компетентните органи на държавите – членки на Европейския съюз (ЕС).</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Копие от информацията по ал. 1 се изпраща от капитана на кораба до пристанищния оператор чрез корабния агент.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(1) Капитанът на кораб, посещаващ българско морско пристанище, е длъжен да осигури предаването на всички превозвани на борда отпадъци в пристанищно приемно </w:t>
      </w:r>
      <w:r>
        <w:rPr>
          <w:rFonts w:ascii="Times New Roman" w:hAnsi="Times New Roman"/>
          <w:sz w:val="24"/>
          <w:szCs w:val="24"/>
          <w:lang w:val="x-none"/>
        </w:rPr>
        <w:lastRenderedPageBreak/>
        <w:t>съоръжение, преди да отплава.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 посещаващ българско морско пристанище, е длъжен да осигури предаването на всички отпадъци разделно, в зависимост от техния вид, съгласно изискванията и категоризацията на Международната конвенция за предотвратяване на замърсяването от кораби от 1973 г., изменена с протокол от 1978 г. (MARPOL 73/78) и с протокол от 1997 г., съставена в Лондон на 2 ноември 1973 г. (ДВ, бр. 12 от 2005 г.), ратифицирана със закон (ДВ, бр. 94 от 2004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(1) След предаването на отпадъците операторът на пристанищното приемно съоръжение или администрацията на пристанището (терминала), в което са били предадени, попълва разписка за приети отпадъци от кораби (приложение № 1), която предоставя без необосновано забавяне на капитана на кораба.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 корабният агент или корабният мениджър докладва преди отплаване или веднага след получаване на разписката/разписките за приети отпадъци, съдържащата се в нея/тях информация, съгласно чл. 36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Разписката/разписките за приети отпадъци от кораби се съхранява на борда най-малко две години заедно със съответните Дневник за нефтените операции, Дневник за товарните операции, Дневник за операциите, попадащи в обхвата на Анекс V на MARPOL 73/78 или Плана за управление на тези отпадъци, и се предоставя за проверка при поискване на инспекторите на ИА "Морска администрация" и съответните органи на държавите – членки на ЕС.</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(1) Инспекторите на ИА "Морска администрация" могат да разрешат отплаване и без да е изпълнено условието по чл. 4, ал. 1, когато: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информацията от предварителното уведомление за предаване на отпадъци от кораби в пристанищни приемни съоръжения и от разписката за приети отпадъци от кораби, подадени съгласно чл. 3, ал. 1 и чл. 5, ал. 1, показва, че корабът разполага с достатъчен капацитет за съхранение на борда на съществуващите отпадъци, както и на тези, които ще бъдат генерирани по време на предвиденото пътуване до следващото пристанище, което корабът ще посети;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корабите по чл. 32, ал. 3, т. 2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информацията от предварителното уведомление за предаване на отпадъци от кораби в пристанищни приемни съоръжения, попълвана и съхранявана на борда, показва, че е налице достатъчен капацитет за съхранение на борда на всички налични отпадъци от кораби, както и на тези, които ще бъдат генерирани по време на предвиденото пътуване до следващото пристанище, което корабът ще посети;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корабът посещава пристанището само за да застане на котвена стоянка за по-малко от 24 часа или прави това поради неблагоприятни атмосферни условия.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по ал. 1 не се дава и инспекторите на ИА "Морска администрация" изискват корабът да предаде всички свои отпадъци, преди да напусне пристанището, ако: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 основа на наличната информация, предоставена в съответствие с чл. 3, ал. 1 и чл. 5, ал. 1 или в GISIS, не може да бъде установено дали следващото пристанище, което ще бъде посетено, разполага с подходящи пристанищни приемни съоръжения; или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следващото пристанище е неизвестно.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изчисляване на достатъчния капацитет за съхранение на борда по ал. 1 се прилагат изискванията на Регламент за изпълнение (ЕС) 2022/89 на Комисията от 21 януари 2022 г. за определяне на правила за прилагането на Директива (ЕС) 2019/883 на Европейския парламент и на Съвета по отношение на метода, който да се използва за изчисляването на достатъчния капацитет за съхранение на борда (OВ, L 15, 24.1.2022).</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(1) От задължението за предаване на отпадъци от кораби и/или от задължението за подаване на предварително уведомление по чл. 3, ал. 1 може да бъде освободен кораб, когато са налице достатъчно доказателства, че са изпълнени следните условия: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корабът извършва редовни превози, свързани с чести и редовни посещения на български морски пристанища;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съществува споразумение за предаване на отпадъците и плащане на съответните такси в пристанище по маршрута на кораба, което: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доказано чрез подписан договор с пристанище или договорна страна, приемаща отпадъци от кораби, и чрез разписки за приемане на отпадъци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 било съобщено на всички пристанища по маршрута на кораба;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е прието от пристанището, в което се извършва предаването на отпадъците и плащането, което може да бъде пристанище на държава – членка на ЕС, или друго пристанище, което разполага с подходящи съоръжения съгласно установеното въз основа на информацията, докладвана по електронен път в Националния център за електронен документооборот на морския транспорт по чл. 37, ал. 4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и в GISIS;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освобождаването не поражда отрицателно въздействие върху морската безопасност, здравето, условията на живот и работа на борда на кораба или морската среда.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освобождаване по ал. 1 корабопритежателят подава до изпълнителния директор на ИА "Морска администрация" следните документи: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заявление за освобождаване;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доказателства за опериране на корабна линия – график за посещение, договор с пристанищата по линията за определяне на корабно място и за условията за приемане на кораба при пристигане и др.;</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нотариално заверено, легализирано и преведено копие от сключено споразумение с пристанищен оператор в някое от другите пристанища по линията, където ще бъдат предавани отпадъците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документи, удостоверяващи освобождаване или отказ за освобождаване в някое от другите пристанища по линията – ако има такива;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 за платена такса по чл. 31б от Тарифа № 5 за таксите, които се събират в системата на Министерството на транспорта и съобщенията, приета с Постановление № 81 на Министерския съвет от 2000 г. (обн., ДВ, бр. 41 от 2000 г.; попр., бр. 54 от 2000 г.; изм. и доп., бр. 97 от 2000 г., бр. 18, 47 и 62 от 2001 г.; доп., бр. 104 от 2001 г.; изм. и доп., бр. 49 от 2002 г.; изм., бр. 68 от 2002 г.; изм. и доп., бр. 71 от 2002 г., бр. 17 от 2003 г., бр. 101 от 2005 г.; изм., бр. 105 от 2005 г., бр. 77 от 2006 г.; изм. и доп., бр. 105 от 2006 г.; изм., бр. 38 от 2007 г.; изм. и доп., бр. 64 от 2008 г.; изм., бр. 78 и 79 от 2008 г., бр. 100 от 2009 г., бр. 64 от 2010 г.; изм. и доп., бр. 96 от 2011 г.; изм., бр. 67 от 2012 г.; изм. и доп., бр. 45 от 2014 г.; доп., бр. 59 от 2016 г.; изм., бр. 36 от 2022 г.; доп., бр. 53 от 2022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При подаване на заявлението корабопритежателят предоставя достъп на инспекторите на ИА "Морска администрация" до кораба за проверка на заявените обстоятелства. Проверката се извършва в българско пристанище.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при проверката на документите по ал. 2 и на кораба по ал. 3 се установи, че корабът отговаря на изискванията за освобождаване по ал. 1, в 14-дневен срок от получаване на заявлението за освобождаване изпълнителният директор на ИА "Морска администрация" издава удостоверение за освобождаване по образец съгласно приложение № 2, с което освобождава кораба от задължението за предаване на отпадъци и/или от задължението за подаване на предварително уведомление по чл. 3, ал. 1. Информация за издаденото удостоверение за освобождаване се докладва по електронен път в националната система, част от Европейската платформа за обмен на морска информация между морските администрации на държавите – членки на ЕС (SafeSeaNet).</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Освобождаването по ал. 4 е за срок до две години, но не по-дълъг от срока на споразумението по ал. 2, т. 3.</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при проверката на документите по ал. 2 и на кораба по ал. 3 се установи, че корабът не отговаря на изискванията за освобождаване по ал. 1, в 14-дневен срок от получаване на заявлението за освобождаване изпълнителният директор на ИА "Морска администрация" писмено уведомява корабопритежателя за отказа си за издаване на удостоверението по ал. 4.</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настъпване на промени в обстоятелствата по ал. 1 по причини, различни от форсмажорни обстоятелства, търсене на убежище, укриване, аварийни ремонти и други причини, свързани с безопасността на кораба, разрешението за освобождаване престава да бъде валидно.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Ако кораб, на който е било разрешено да не предава отпадъци от кораби и/или да не подава предварително уведомление по чл. 3, ал. 1, трябва да бъде заменен временно от друг поради повреда, нужда от поддръжка, планиран ремонт или друго, освобождаването е валидно за заместващия го кораб, за периода на замяната, след уведомяване на ИА "Морска администрация" и извършена проверка на кораба от инспекторите на ИА "Морска администрация" по реда на ал. 3.</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Копие от всяко удостоверение за освобождаване от заплащане на такси, издадено по чл. 103д, ал. 3 и 4 от лице по чл. 103в, ал. 2 от Закона за морските пространства, вътрешните водни пътища и пристанищата на Република България, се предоставя незабавно на ИА "Морска администрация" за сведение и за докладване на информацията от него по електронен път в националната система SafeSeaNet.</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Независимо от предоставеното освобождаване не се допуска кораб да продължи към следващото пристанище, което ще посети, ако не разполага с достатъчен капацитет за съхранение на борда на съществуващите отпадъци, както и на тези, които ще бъдат генерирани по време на предвиденото пътуване до следващото пристанище, което той ще посети.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Изпълнителна агенция "Морска администрация" осъществява контрол чрез териториалните си дирекции по спазването на условията по ал. 1 за всички случаи на издадени удостоверения за освобождаване по ал. 4.</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Уведомяване и ред за предаване на отпадъци от кораби в речни пристанища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(1) Капитанът на кораб, корабният агент или корабният мениджър подава информация относно вида и обема на отпадъците на борда на кораба в момента на пристигане в речно пристанище на Република България съгласно чл. 36д, ал. 1, т. 6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необходимост от предаване на отпадъци копие от информацията по ал. 1 се изпраща от капитана на кораба или корабния агент до пристанищния оператор.</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(1) Капитанът на кораб, посещаващ българско речно пристанище, е длъжен преди отплаване да осигури предаването на всички отпадъци разделно в зависимост от техния вид съгласно изискванията на глава десета "Предотвратяване замърсяването на водите и отстраняване на отпадъците, образувани на борда на корабите" от Правилата за плаване по река Дунав, приети с Постановление № 154 на Министерския съвет от 2020 г. (ДВ, бр. 67 от 2020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Капитанът на кораб, корабният агент или корабният мениджър подава преди отплаване декларация за отпадъците от кораби, предадени в пристанището, чрез Системата за електронен документооборот на речния транспорт съгласно чл. 36е, ал. 1, т. 10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(1) Инспекторите на ИА "Морска администрация" могат да разрешат отплаване и без да е изпълнено условието по чл. 9, ал. 1, когато: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информацията, подадена съгласно чл. 8, ал. 1 и чл. 9, ал. 2, показва, че корабът разполага с достатъчно капацитет за съхранение на борда на съществуващите корабни отпадъци, както и на тези, които ще генерира до следващото пристанище, оборудвано с подходящи приемни съоръжения;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корабът посещава пристанището само за да застане на котвена стоянка за по-малко от 12 часа или в случай на щурмово предупреждение.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Разрешението по ал. 1 не се дава и инспекторите на ИА "Морска администрация" изискват корабът да предаде съществуващите корабни отпадъци, преди да напусне пристанището, когато: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въз основа на наличната информация, предоставена в съответствие с чл. 8, ал. 1 и чл. 9, ал. 2, не може да бъде установено дали следващото пристанище, което ще бъде посетено, разполага с подходящи пристанищни приемни съоръжения;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следващото пристанище е неизвестно;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наличните обеми за съхранение на битови отпадъци и/или сантинни води са изцяло запълнени;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палубата на кораба са разположени подвижни съдове с отработени масла.</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Условия за събиране и транспортиране на отпадъци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11</w:t>
      </w:r>
      <w:r>
        <w:rPr>
          <w:rFonts w:ascii="Times New Roman" w:hAnsi="Times New Roman"/>
          <w:sz w:val="24"/>
          <w:szCs w:val="24"/>
          <w:lang w:val="x-none"/>
        </w:rPr>
        <w:t>. (1) Дейността по събиране, транспортиране, съхранение и обезвреждане на отпадъци от кораби се извършва от физически и юридически лица, на които са издадени разрешения за това съгласно Закона за управление на отпадъците и които са регистрирани по реда на Наредба № 18 от 3.12.2004 г. за регистрация на пристанищните оператори в Република България (обн., ДВ, бр. 109 от 2004 г.; изм., бр. 62 от 2005 г.; изм. и доп., бр. 75 от 2010 г., бр. 15 от 2014 г., бр. 85 от 2017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Всяко лице, което предава или приема отпадъци от кораби, може да търси обезщетение за вреди, причинени от необосновано забавяне при предаването, съответно приемането на отпадъците от кораби, по общия ред.</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Събирането и транспортирането на всички видове отпадъци от кораби се извършва, докато корабът се намира на рейд или на кей в пристанище на Република България.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Директорите на териториалните дирекции на ИА "Морска администрация" подават на всеки 3 месеца в съответната регионална инспекция по околната среда и водите обобщена статистическа информация относно вида и обема на отпадъците от кораби, предадени в приемни съоръжения в пристанищата на Република България (приложение № 3).</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Отпадъците от кораби, попадащи в обхвата на Анекс I на MARPOL 73/78, се събират и транспортират: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чрез специализирани плавателни съдове, снабдени със специални технически средства, бонове, скимъри и други, за локализиране и почистване на акваторията в случай на замърсяване в процеса на предаване и транспортиране на нефтените отпадъци;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чрез автоцистерни, разположени на брега, или специализирани брегови съоръжения.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Отпадъците от кораби, попадащи в обхвата на Анекс II на MARPOL 73/78, подлежат на предаване, както следва: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след разтоварване на товар от категория Х по Анекс II на MARPOL 73/78 товарните танкове на съответния химикаловоз се почистват преди отплаване, като генерираните миячни води задължително се предават в приемно съоръжение на терминала, на който товарът е бил разтоварен;</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разтоварване на товар от категория Y по Анекс II на MARPOL 73/78, който съгласно Правило 1 на този aнекс е определен като вещество с висок вискозитет или склонно към втвърдяване, товарните танкове на съответния химикаловоз се почистват преди отплаване, като всички генерирани миячни води от първото почистване (до пълното изпразване на съответните танкове) задължително се предават в приемно съоръжение на терминала, на който товарът е бил разтоварен;</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разтоварване на товари от категории Y или Z по Анекс II на MARPOL 73/78, извършено в несъответствие с приложимите правила на този анекс за превоз и обработка на такива товари, товарните танкове на съответния химикаловоз задължително се почистват преди отплаване и генерираните остатъци от товари и миячни води се предават в приемно съоръжение на терминала, на който съответният товар е бил разтоварен.</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Отпадъчните води на кораби, попадащи в обхвата на Анекс IV на MARPOL 73/78, се събират и транспортират чрез:</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специализирани плавателни съдове;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фекални автоцистерни,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(1) Отпадъците от кораби, попадащи в обхвата на Анекс V на MARPOL 73/78, се събират и транспортират чрез:</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специализирани плавателни съдове;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специализирани моторни превозни средства,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Капитаните на кораби са длъжни да осигурят разделно събиране и предаване на отпадъците по ал. 1 в добре затворени полиетиленови торби, варели или други подходящи вместимости с цел избягване разпиляването им по пирса и в акваторията на пристанищата, като отпадъците от корабните аптеки задължително се събират и предават в отделни ясно етикетирани полиетиленови торби.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Отпадъците от кораби, попадащи в обхвата на Анекс VI на MARPOL 73/78, се събират от лицата по чл. 11, ал. 1 чрез специализирани моторни превозни средства или специализирани плавателни съдове.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Годността на специализираните плавателни съдове и техническите средства към тях по чл. 14, т. 1, чл. 16, т. 1, чл. 17, ал. 1, т. 1 и чл. 18 се удостоверява от ИА "Морска администрация" по реда на Наредба № 11 от 26.04.2004 г. за прегледите на корабите и корабопритежателите (обн., ДВ, бр. 52 от 2004 г.; изм., бр. 101 от 2004 г.; доп., бр. 9 от 2009 г.; изм. и доп., бр. 30 и 49 от 2009 г., бр. 65 от 2013 г.; изм., бр. 16 от 2014 г.; изм. и доп., бр. 5 от 2015 г., бр. 89 от 2018 г. и бр. 7 от 2020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Остатъците от корабни товари, класифицирани като вредни за морската среда съгласно критериите от Приложение 1 към Анекс V на MARPOL 73/78, се събират и предават единствено на територията на терминала, на който са били натоварени или разтоварени.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В случай на замърсяване при приемане на отпадъци от кораби дейностите по локализиране и почистване на пристанищната акватория се извършват съгласно разработени и утвърдени аварийни планове по реда на чл. 27 от Наредба № 9 от 17.10.2013 г. за изискванията за експлоатационна годност на пристанищата и специализираните пристанищни обекти (обн., ДВ, бр. 96 от 2013 г.; изм., бр. 85 от 2017 г.; доп., бр. 103 от 2017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w:t>
      </w:r>
      <w:r>
        <w:rPr>
          <w:rFonts w:ascii="Times New Roman" w:hAnsi="Times New Roman"/>
          <w:sz w:val="24"/>
          <w:szCs w:val="24"/>
          <w:lang w:val="x-none"/>
        </w:rPr>
        <w:t>. (1) Образуваните на борда на кораб, плаващ по вътрешни водни пътища, битови корабни отпадъци се събират разделно в подходящи съдове с капаци, маркирани с надпис или приетите от Дунавската комисия символи, изобразяващи вида на съответния отпадък. Битовите отпадъци се предават в добре затворени полиетиленови торби или други подходящи вместимости.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Отпадъците по ал. 1 се събират: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чрез специализирани плавателни съдове;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чрез моторни превозни средства,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пристанищни приемни съоръжения,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w:t>
      </w:r>
      <w:r>
        <w:rPr>
          <w:rFonts w:ascii="Times New Roman" w:hAnsi="Times New Roman"/>
          <w:sz w:val="24"/>
          <w:szCs w:val="24"/>
          <w:lang w:val="x-none"/>
        </w:rPr>
        <w:t>. (1) Образуваните на борда на кораб, плаващ по вътрешни водни пътищa, сантинни води се събират в специално обособени за целта вместимости за съхранение.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липса на цистерни за съхранение пространството под плитовете в машинното отделение се приема за място за съхранение на сантинни води.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(1) Отработените масла се съхраняват в закрити помещения на борда на кораб, плаващ по вътрешни водни пътища, в съдове от незапалим материал с уплътняващи капаци и достатъчна вместимост.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машинното отделение на кораб по ал. 1 трябва да са налични и отделно маркирани съдове с капаци, изработени от негорим материал, за събиране на: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омаслени парцали и филтри;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опасни или замърсяващи твърди отпадъци;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отпадъци, съдържащи масла и смазочни материали.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25</w:t>
      </w:r>
      <w:r>
        <w:rPr>
          <w:rFonts w:ascii="Times New Roman" w:hAnsi="Times New Roman"/>
          <w:sz w:val="24"/>
          <w:szCs w:val="24"/>
          <w:lang w:val="x-none"/>
        </w:rPr>
        <w:t>. Сантинните води, отработените масла и други отпадъци, съдържащи масла или смазочни материали, се събират: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чрез специализирани плавателни съдове;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чрез моторни превозни средства,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пристанищни приемни съоръжения, разположени на брега.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w:t>
      </w:r>
      <w:r>
        <w:rPr>
          <w:rFonts w:ascii="Times New Roman" w:hAnsi="Times New Roman"/>
          <w:sz w:val="24"/>
          <w:szCs w:val="24"/>
          <w:lang w:val="x-none"/>
        </w:rPr>
        <w:t>. (1) Ако корабната осушителна система на кораб, плаващ по вътрешни водни пътища, включва стационарно монтиран тръбопровод, затварящите устройства на осушителните тръби се пломбират.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Заключването на затварящите устройства се счита за равностойно на пломбирането по ал. 1. Ключът/ключовете за заключване на затварящите устройства се съхраняват на леснодостъпно място в машинното отделение.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Остатъците от корабни товари, определени като замърсители съгласно Европейското споразумение за международен превоз на опасни товари по вътрешните водни пътища (ADN) (ДВ, бр. 43 от 2008 г.), ратифицирано със закон (ДВ, бр. 9 от 2006 г.), се събират и предават единствено в специално определени контейнери или други подходящи вместимости на територията на съответното речно пристанище, на което са били натоварени или разтоварени.</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Контролни проверки на корабите, посещаващи българските морски пристанища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(1) Всеки кораб може да бъде подложен на проверки, включително на извънредни проверки, за да бъде установено дали спазва настоящата наредба.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Проверките по ал. 1 се извършват от инспекторите по държавен екологичен контрол на морското корабоплаване в териториалните дирекции на ИА "Морска администрация".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Инспекторите по ал. 2 са длъжни да извършват проверки на най-малко 15% от общия брой индивидуални кораби, посещаващи годишно българските морски пристанища. Общият брой индивидуални кораби, посещаващи тези пристанища, се изчислява като осреднен брой индивидуални кораби за предходните три години, отчетен в Националния център за електронен документооборот на морския транспорт.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Изборът на кораби, на които да бъде извършена проверка, се основава на оценка на риска и целеви подбор в съответствие с изискванията на Регламент за изпълнение (ЕС) 2022/90 на Комисията от 21 януари 2022 г. за определяне на правила за прилагането на Директива (ЕС) 2019/883 на Европейския парламент и на Съвета по отношение на подробните елементи на основания на риска механизъм на Съюза за целеви подбор на кораби за проверка (OВ, L 15, 24.1.2022).</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Инспекторите на ИА "Морска администрация" следят, когато това е възможно, корабите по чл. 1, ал. 2 и по чл. 32, ал. 3, т. 2 от Наредбата за организацията за осъществяване на граничен паспортен, митнически, здравен, ветеринарномедицински и фитосанитарен контрол, както и контрол на транспортните средства в пристанищата на Република България, обслужващи кораби от международно плаване да предават отпадъците си по начин, съвместим с разпоредбите на тази наредба.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Ако при проверка по ал. 1 инспекторите на ИА "Морска администрация" установят несъответствия, изискват от съответния кораб да предаде отпадъците си в </w:t>
      </w:r>
      <w:r>
        <w:rPr>
          <w:rFonts w:ascii="Times New Roman" w:hAnsi="Times New Roman"/>
          <w:sz w:val="24"/>
          <w:szCs w:val="24"/>
          <w:lang w:val="x-none"/>
        </w:rPr>
        <w:lastRenderedPageBreak/>
        <w:t>пристанищно приемно съоръжение, преди да напусне пристанището.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(1) Проверките по чл. 28, ал. 1 са задължителни и незадължителни.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задължителна проверка подлежат: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корабите, които не са подали информацията съгласно чл. 3, ал. 1;</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корабите, за които има съмнение, че са подали невярна информация по чл. 3, ал. 1 или тази информация е непълна;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за които е налична информация, че са отплавали от предишно пристанище, без да са изпълнени условията по чл. 4 и 6 или са констатирани други несъответствия с изисквания на наредбата.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Незадължителни проверки се извършват на всички останали кораби, за да се достигне относителният дял на проверените кораби, посочен в чл. 28, ал. 3. В този случай с приоритет се осъществява контрол на: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корабите, за които в европейската информационна и комуникационна система THETIS-EU липсва запис от проверка в пристанище на държава – членка на ЕС;</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корабите, които не са били проверявани повече от една година в пристанище на държава – членка на ЕС;</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корабите, които съгласно предварителното уведомление по чл. 3, ал. 1 разполагат с малък свободен капацитет за съхранение на отпадъци на борда си.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w:t>
      </w:r>
      <w:r>
        <w:rPr>
          <w:rFonts w:ascii="Times New Roman" w:hAnsi="Times New Roman"/>
          <w:sz w:val="24"/>
          <w:szCs w:val="24"/>
          <w:lang w:val="x-none"/>
        </w:rPr>
        <w:t>. (1) Информация за извършените проверки на кораби по реда на чл. 28 се въвежда незабавно в база данни на европейската информационна и комуникационна система THETIS-EU веднага след като: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бил завършен докладът за извършената проверка на даден кораб;</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била вдигната забраната за отплаване на даден кораб, или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 било предоставено освобождаване на даден кораб.</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когато кораб отплава от българско морско пристанище в нарушение на изискванията на чл. 4, ал. 1 и без да са налице условията по чл. 6, ал. 1, се информират компетентните власти в следващото пристанище, когато то е в държава – членка на ЕС – чрез сигнал (alert), въведен в европейската информационна и комуникационна система THETIS-EU.</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Инспекторите на ИА "Морска администрация", упражняващи контрол на корабите по реда на чл. 2 и 28, имат достъп до записаната информация в базата данни за проверките в европейската информационна и комуникационна система THETIS-EU по всяко време.</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Контролни проверки на корабите, посещаващи българските речни пристанища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w:t>
      </w:r>
      <w:r>
        <w:rPr>
          <w:rFonts w:ascii="Times New Roman" w:hAnsi="Times New Roman"/>
          <w:sz w:val="24"/>
          <w:szCs w:val="24"/>
          <w:lang w:val="x-none"/>
        </w:rPr>
        <w:t>. Корабите, посещаващи българските речни пристанища, подлежат на контролни проверки: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спазване изискванията на настоящата наредба;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спазване на правилата за предпазване акваторията на пристанищата от замърсяване от кораби съгласно Задължителните правила за българските пристанища на река Дунав (ДВ, бр. 40 от 2020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наличие на Дневник за операции с отработени масла/Дневник за нефтени операции, издаден в съответствие с MARPOL 73/78, пълнотата и достоверността на </w:t>
      </w:r>
      <w:r>
        <w:rPr>
          <w:rFonts w:ascii="Times New Roman" w:hAnsi="Times New Roman"/>
          <w:sz w:val="24"/>
          <w:szCs w:val="24"/>
          <w:lang w:val="x-none"/>
        </w:rPr>
        <w:lastRenderedPageBreak/>
        <w:t>направените записи;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наличие на пломби в затворено положение на спирателната арматура за непосредствено изхвърляне на сантинни води зад борд;</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липсва информацията съгласно чл. 8, ал. 1;</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когато има съмнение, че подадената информация съгласно чл. 8, ал. 1 е невярна.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w:t>
      </w:r>
      <w:r>
        <w:rPr>
          <w:rFonts w:ascii="Times New Roman" w:hAnsi="Times New Roman"/>
          <w:sz w:val="24"/>
          <w:szCs w:val="24"/>
          <w:lang w:val="x-none"/>
        </w:rPr>
        <w:t>. Проверките по чл. 31 се извършват от инспекторите по държавен екологичен контрол на речното корабоплаване в териториалните дирекции на ИА "Морска администрация".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Ако при проверка по чл. 31 инспекторите на ИА "Морска администрация" установят несъответствия, изискват от съответния кораб да предаде отпадъците си в пристанищно приемно съоръжение, преди да напусне пристанището.</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По смисъла на тази наредба: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"Достатъчен капацитет за съхранение" е достатъчен капацитет за съхранение на отпадъците на борда на кораба от момента на напускане на пристанището до следващото влизане в пристанище, включително на отпадъците, които се очаква да бъдат генерирани по време на пътуването.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"GISIS" е Глобалната интегрирана информационна система за кораби, създадена от Международната морска организация.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"MARPOL 73/78" е Международната конвенция за предотвратяване на замърсяването от кораби от 1973 г. заедно с Протокола към нея, подписан през 1978 г., с всички нейни последващи изменения и допълнения, влезли в сила за Република България.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"Отпадъци от кораби" са всички отпадъци, включително остатъците от товари, генерирани по време на експлоатацията на кораба или по време на товарене, разтоварване и почистване. В морските пристанища се приемат отпадъци от кораби, попадащи в обхвата на анекси I, II, IV, V и VI към Международната конвенция за предотвратяване на замърсяването от кораби, 1973 г., изменена с Протокол от 1978 г. (MARPOL 73/78) и с Протокол от 1997 г., съставена в Лондон на 2 ноември 1973 г. (ратифицирана със закон – ДВ, бр. 94 от 2004 г.) (ДВ, бр. 12 от 2005 г.), както и пасивно уловените отпадъци. Отпадъците от кораби са отпадъци по смисъла на § 1, т. 17 от допълнителните разпоредби на Закона за управление на отпадъците.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"Отпадъци, попадащи в обхвата на Анекс I на MARPOL 73/78" са отработени смазочни масла, остатъци от горива, нефтени остатъци и сантинни води, както и мръсен баласт и миячни води, генерирани вследствие миенето на товарните танкове на нефтените танкери.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"Отпадъци, попадащи в обхвата на Анекс II на MARPOL 73/78" са миячни води, генерирани на борда на кораб химикаловоз в резултат от процедурите по миене на товарните танкове.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"Отпадъчни води, попадащи в обхвата на Анекс IV на MARPOL 73/78" са всички дренажни отпадни води, генерирани на борда на кораба от тоалетни, писоари, медицински помещения и помещения с живи животни, по време на нормалната му експлоатация.</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"Отпадъци, попадащи в обхвата на Анекс V на MARPOL 73/78" са всички видове пластмасови, хранителни, битови и експлоатационни отпадъци, мазнини за готвене, пепел от инсинератори, риболовни уреди, животински трупове и остатъци от товари, генерирани по време на нормалната експлоатация на кораба и подлежащи на непрекъснато или </w:t>
      </w:r>
      <w:r>
        <w:rPr>
          <w:rFonts w:ascii="Times New Roman" w:hAnsi="Times New Roman"/>
          <w:sz w:val="24"/>
          <w:szCs w:val="24"/>
          <w:lang w:val="x-none"/>
        </w:rPr>
        <w:lastRenderedPageBreak/>
        <w:t>периодично обезвреждане, с изключение на тези вещества, които са дефинирани или изброени в други анекси на MARPOL 73/78.</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"Отпадъци, попадащи в обхвата на Анекс VI на MARPOL 73/78" са озоноразрушаващи вещества, както са дефинирани в Приложение 2 на Анекс VI на MARPOL 73/78, оборудване, съдържащо такива вещества и остатъци от пречистването на отработените газове на кораб чрез одобрена система за очистване на тези газове.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"Остатъци от товари" са всички остатъци от товари на борда на кораба, които остават на палубата, в трюмовете или в товарните танкове след приключване на операциите по товарене или разтоварване, включително излишъците и разлетите или разпилени по време на товарене или разтоварване количества, независимо дали са в течно или сухо състояние, или се съдържат в миячните води. Не са остатъци от товари прахът от товара, останал на палубата след премитане, и прахът по външните повърхности на кораба. Остатъците от товари са отпадъци по смисъла на § 1, т. 17 от допълнителните разпоредби на Закона за управление на отпадъците.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"Отработени масла" са отработени масла или други неизползваеми повторно смазочни материали за двигатели, зъбни предавки и хидравлични устройства.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"Пасивно уловени отпадъци" са отпадъци, които са попаднали в мрежите по време на риболовни операции.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"Пристанищно приемно съоръжение" е всяко съоръжение, трайно прикрепено, плаващо или подвижно, което може да предоставя услугата за приемане на отпадъците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"Редовни посещения в пристанище" са повтарящи се пътувания на кораб, които образуват постоянна схема на движение между посочени пристанища или серия от пътувания без междинни влизания в пристанище, започващи и завършващи в едно и също пристанище.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"Редовни превози" са превози въз основа на обявено или планирано разписание с посочени времена на отпътуване и пристигане между посочени пристанища или често повтарящи се пътувания между пристанища, които се приемат за общоприето разписание.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"Сантинни води" са маслено-водна смес от дъното на трюма, от машинното отделение, крайните отсеци, кофердамите, междубордовите и междудънните пространства и бордовите отсеци.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"Специализирани плавателни съдове" са танкери, катери, самоходни или несамоходни баржи и нефтосъбирачи, снабдени с документите съгласно наредбата по чл. 86 от Кодекса на търговското корабоплаване.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"Чести посещения в пристанище" са посещения на дадено пристанище от конкретен кораб, осъществявани най-малко веднъж на две седмици.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Предаването на отпадъците от кораби се смята за допускане за свободно обращение по смисъла на чл. 201 от Регламент (ЕС) № 952/2013 на Европейския парламент и на Съвета от 9 октомври 2013 г. за създаване на Митнически кодекс на Съюза (OB, L 269 от 2013 г.), като не се изисква подаване на обобщена декларация за въвеждане съгласно чл. 127 от същия регламент.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С тази наредба се въвеждат изисквания на Директива (ЕС) 2019/883 на Европейския парламент и на Съвета от 17 април 2019 г. относно пристанищните приемни съоръжения за предаване на отпадъци от кораби, за изменение на Директива 2010/65/ЕС и за отмяна на Директива 2000/59/ЕС (OB, L 151 от 2019 г.).</w:t>
      </w:r>
    </w:p>
    <w:p w:rsidR="00C737C3" w:rsidRDefault="00C737C3">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Тази наредба се издава на основание чл. 371 от Кодекса на търговското корабоплаване.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Тази наредба отменя Наредба № 15 от 28.09.2004 г. за предаване и приемане на отпадъци – резултат от корабоплавателна дейност, и на остатъци от корабни товари (обн., ДВ, бр. 94 от 2004 г.; изм., бр. 103 от 2007 г., бр. 28 от 2009 г.; изм. и доп., бр. 101 от 2012 г.).</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Наредбата влиза в сила от деня на обнародването й в "Държавен вестник".</w:t>
      </w:r>
    </w:p>
    <w:p w:rsidR="00C737C3" w:rsidRDefault="00C737C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1</w:t>
      </w:r>
    </w:p>
    <w:p w:rsidR="00C737C3" w:rsidRDefault="00C737C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5, ал. 1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737C3">
        <w:trPr>
          <w:tblCellSpacing w:w="15" w:type="dxa"/>
        </w:trPr>
        <w:tc>
          <w:tcPr>
            <w:tcW w:w="10185" w:type="dxa"/>
            <w:tcBorders>
              <w:top w:val="nil"/>
              <w:left w:val="nil"/>
              <w:bottom w:val="nil"/>
              <w:right w:val="nil"/>
            </w:tcBorders>
            <w:vAlign w:val="center"/>
          </w:tcPr>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STANDARD FORMAT FOR THE WASTE DELIVERY RECEIPT</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СТАНДАРТЕН ФОРМАТ НА РАЗПИСКА ЗА ПРИЕТИ ОТПАДЪЦИ</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The designated representative of the port reception facility provider shall provide the following form to the master of a ship that has delivered waste in accordance with Article 7 of the Ordinance No.15 on the delivery and reception of waste from ships. This form shall be retained on board the ship along with the appropriate Oil Record Book, Cargo Record Book, Garbage Record Book or Garbage Management Plan as required by the MARPOL Convention.</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i/>
                      <w:iCs/>
                      <w:sz w:val="24"/>
                      <w:szCs w:val="24"/>
                      <w:lang w:val="x-none"/>
                    </w:rPr>
                  </w:pPr>
                  <w:r>
                    <w:rPr>
                      <w:rFonts w:ascii="Times New Roman" w:hAnsi="Times New Roman"/>
                      <w:sz w:val="24"/>
                      <w:szCs w:val="24"/>
                      <w:lang w:val="x-none"/>
                    </w:rPr>
                    <w:t>Назначеният представител на пристанищното приемно съоръжение трябва да предостави настоящия формуляр на капитана на кораб, който е предал отпадъците си съгласно чл. 7 на Наредба № 15 за предаване и приемане на отпадъци от кораби. Настоящият формуляр трябва да се съхранява на борда на кораба заедно със съответния Дневник за нефтените операции, Дневник за товарните операции, Дневник за операциите с отпадъци или План за управление на отпадъците, както се изисква съгласно MARPOL 73/</w:t>
                  </w:r>
                  <w:r>
                    <w:rPr>
                      <w:rFonts w:ascii="Times New Roman" w:hAnsi="Times New Roman"/>
                      <w:i/>
                      <w:iCs/>
                      <w:sz w:val="24"/>
                      <w:szCs w:val="24"/>
                      <w:lang w:val="x-none"/>
                    </w:rPr>
                    <w:t>78.</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RECEPTION FACILITY AND PORT PARTICULARS (Данни за приемното съоръжение и пристанището/терминала)</w:t>
                  </w: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0230"/>
            </w:tblGrid>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1.1 Location/Terminal name (Наименование на местоположението/терминала):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Reception facility provider(s) (Наименование на доставчика(ците) на пристанищната услуга приемане на отпадъци от кораби):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Treatment facility provider(s) – if different from above (Наименование на доставчика(ците), ако е(са) различен(ни) от този по т. 1.2):</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101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1.4 Waste delivery date: .......................... and time from: ……….…. to: ………… (Дата на предаване на отпадъците и време от – до) </w:t>
                  </w: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C737C3">
              <w:trPr>
                <w:tblCellSpacing w:w="0" w:type="dxa"/>
              </w:trPr>
              <w:tc>
                <w:tcPr>
                  <w:tcW w:w="10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SHIP PARTICULARS (Данни за кораба)</w:t>
                  </w: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436"/>
              <w:gridCol w:w="5794"/>
            </w:tblGrid>
            <w:tr w:rsidR="00C737C3">
              <w:trPr>
                <w:tblCellSpacing w:w="0" w:type="dxa"/>
              </w:trPr>
              <w:tc>
                <w:tcPr>
                  <w:tcW w:w="441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2.1. Name of ship (Име на кораба):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576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2.5. Owner or operator (Собственик или оператор):</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441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2.2. IMO number (Номер в регистъра на ММО):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576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2.6. Distinctive number or letters (Отличително цифрено или буквено обозначение):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MMSI number (Номер MMSI):</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441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2.3. Gross tonnage (Брутен тонаж):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576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2.7. Flag State (Държава на знамето):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r>
            <w:tr w:rsidR="00C737C3">
              <w:trPr>
                <w:tblCellSpacing w:w="0" w:type="dxa"/>
              </w:trPr>
              <w:tc>
                <w:tcPr>
                  <w:tcW w:w="10170" w:type="dxa"/>
                  <w:gridSpan w:val="2"/>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2.4 Type of ship (Тип на кораба):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Oil tanker (Нефтен танкер) Chemical tanker (Танкер химикаловоз) Container (Контейнеровоз)</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Bulk carrier (Кораб за насипни товари) Other cargo ship (Друг товарен кораб) Passenger ship (Пътнически кораб) Ro-ro (Ро-ро) Other – specify (Друг – уточнете): ………………………………………………………...................................</w:t>
                  </w: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10200"/>
            </w:tblGrid>
            <w:tr w:rsidR="00C737C3">
              <w:trPr>
                <w:tblCellSpacing w:w="0" w:type="dxa"/>
              </w:trPr>
              <w:tc>
                <w:tcPr>
                  <w:tcW w:w="10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TYPE AND AMOUNT OF WASTES/RESIDUES RECEIVED (Вид и количество на приетите отпадъци)</w:t>
                  </w: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545"/>
              <w:gridCol w:w="1403"/>
              <w:gridCol w:w="272"/>
              <w:gridCol w:w="2852"/>
              <w:gridCol w:w="1479"/>
              <w:gridCol w:w="679"/>
            </w:tblGrid>
            <w:tr w:rsidR="00C737C3">
              <w:trPr>
                <w:trHeight w:val="165"/>
                <w:tblCellSpacing w:w="0" w:type="dxa"/>
              </w:trPr>
              <w:tc>
                <w:tcPr>
                  <w:tcW w:w="352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MARPOL Annex I – Oil</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Анекс I към MARPOL – Нефтопродукти/масла</w:t>
                  </w:r>
                </w:p>
              </w:tc>
              <w:tc>
                <w:tcPr>
                  <w:tcW w:w="139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Количество (m3)</w:t>
                  </w:r>
                </w:p>
              </w:tc>
              <w:tc>
                <w:tcPr>
                  <w:tcW w:w="2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 Cooking oil (Мазнини за готвене)</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39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 Incinerator ashes (Пепел от инсинератори)</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Oily bilge water (Омаслена трюмна вода/сантини)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 Operational wastes (Експлоатационни отпадъци)</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Oily residues (sludge) (Омаслени остатъци, утайки)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Oily rags (Омаслени парцали)</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Waste oil (Други моторни, смазочни и масла)</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Fluorescent tubes (Флуоресцентни лампи)</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Dirty ballast water (Замърсена баластна вода)</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Accumulators (lead batteries)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(Оловни акумулаторни батерии)</w:t>
                  </w:r>
                </w:p>
              </w:tc>
              <w:tc>
                <w:tcPr>
                  <w:tcW w:w="14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80"/>
                <w:tblCellSpacing w:w="0" w:type="dxa"/>
              </w:trPr>
              <w:tc>
                <w:tcPr>
                  <w:tcW w:w="352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Oily tank washings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(Омаслени води от миене на резервоари/танкове)</w:t>
                  </w:r>
                </w:p>
              </w:tc>
              <w:tc>
                <w:tcPr>
                  <w:tcW w:w="139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4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39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 Animal carcasses (Животински трупове)</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Scale and sludge from tank cleaning</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(Угар и утайки от почистването на резервоари/танкове)</w:t>
                  </w:r>
                </w:p>
              </w:tc>
              <w:tc>
                <w:tcPr>
                  <w:tcW w:w="139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H. Fishing gear (Риболовни уреди)</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39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 E-waste (Електрическо и електронно оборудване)</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Other – please specify (Друго – уточнете)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J. Cargo residues non-HME**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(Остатъци от товари, неопасни за морската среда)**</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Waste not otherwise specified</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(Отпадъци, неупоменати другаде)</w:t>
                  </w:r>
                </w:p>
              </w:tc>
              <w:tc>
                <w:tcPr>
                  <w:tcW w:w="1395"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K. Cargo residues HME**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(Остатъци от товари, опасни за морската среда)**</w:t>
                  </w:r>
                </w:p>
              </w:tc>
              <w:tc>
                <w:tcPr>
                  <w:tcW w:w="14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MARPOL Annex II – NLS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Анекс II към MARPOL – Вредни течни вещества </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(m3), Name* Количество,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търговско наименование*</w:t>
                  </w:r>
                </w:p>
              </w:tc>
              <w:tc>
                <w:tcPr>
                  <w:tcW w:w="2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MARPOL Annex VI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Air pollution related</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Анекс VI към MARPOL – Замърсяване на въздуха</w:t>
                  </w:r>
                </w:p>
              </w:tc>
              <w:tc>
                <w:tcPr>
                  <w:tcW w:w="1470"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Количество (m3)</w:t>
                  </w: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Category X substance (Вещество от кат. X)</w:t>
                  </w:r>
                </w:p>
              </w:tc>
              <w:tc>
                <w:tcPr>
                  <w:tcW w:w="1395"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Ozone-depleting substances and equipment containing such substances (Озоноразрушаващи вещества и оборудване, съдържащо такива вещества)</w:t>
                  </w:r>
                </w:p>
              </w:tc>
              <w:tc>
                <w:tcPr>
                  <w:tcW w:w="14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Category Y substance (Вещество от кат. Y)</w:t>
                  </w:r>
                </w:p>
              </w:tc>
              <w:tc>
                <w:tcPr>
                  <w:tcW w:w="1395"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4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Category Z substance </w:t>
                  </w:r>
                  <w:r>
                    <w:rPr>
                      <w:rFonts w:ascii="Times New Roman" w:hAnsi="Times New Roman"/>
                      <w:sz w:val="24"/>
                      <w:szCs w:val="24"/>
                      <w:lang w:val="x-none"/>
                    </w:rPr>
                    <w:lastRenderedPageBreak/>
                    <w:t>(Вещество от кат. Z)</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4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OS – other substance (ДВ – друго вещество)</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Exhaust gas-cleaning residues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(Остатъци от пречистване на отработените газове)</w:t>
                  </w:r>
                </w:p>
              </w:tc>
              <w:tc>
                <w:tcPr>
                  <w:tcW w:w="14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80"/>
                <w:tblCellSpacing w:w="0" w:type="dxa"/>
              </w:trPr>
              <w:tc>
                <w:tcPr>
                  <w:tcW w:w="352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MARPOL Annex IV – Sewage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Анекс IV към MARPOL – Отпадъчни води</w:t>
                  </w:r>
                </w:p>
              </w:tc>
              <w:tc>
                <w:tcPr>
                  <w:tcW w:w="139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Количество (m3)</w:t>
                  </w: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4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39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83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Other waste, not covered by MARPOL</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Други отпадъци, които не са в обхвата на MARPOL</w:t>
                  </w:r>
                </w:p>
              </w:tc>
              <w:tc>
                <w:tcPr>
                  <w:tcW w:w="1470"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Количество (m3)</w:t>
                  </w: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Sewage (Отпадъчни води)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470"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MARPOL Annex V – Garbage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Анекс V към MARPOL – Твърди отпадъци</w:t>
                  </w:r>
                </w:p>
              </w:tc>
              <w:tc>
                <w:tcPr>
                  <w:tcW w:w="1395" w:type="dxa"/>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Quantity, Количество (m3)</w:t>
                  </w: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83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Passively fished waste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(Пасивно уловени отпадъци)</w:t>
                  </w:r>
                </w:p>
              </w:tc>
              <w:tc>
                <w:tcPr>
                  <w:tcW w:w="14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1395" w:type="dxa"/>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4305" w:type="dxa"/>
                  <w:gridSpan w:val="2"/>
                  <w:vMerge w:val="restart"/>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On behalf of the port facility I confirm that the above quantity of wastes/residues were received. (От името на пристанищното приемно съоръжение потвърждавам, че горепосочените количества отпадъци/остатъци бяха приети.)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Name and signature of the person in charge (Име и подпис на отг. служител)</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Company Stamp (Печат на фирмата)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On behalf of the ship I confirm that the above quantity of wastes/residues were delivered. (От името на кораба потвърждавам, че горепосочените количества отпадъци/остатъци бяха предадени.)</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Name and signature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of the officer in charge (Име и подпис на отг. офицер)</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Ship Stamp (Печат на кораба)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Plastics (Пластмаси)</w:t>
                  </w:r>
                </w:p>
              </w:tc>
              <w:tc>
                <w:tcPr>
                  <w:tcW w:w="1395"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B. Food wastes (Хранителни отпадъци)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 Domestic wastes (Битови отпадъци)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Paper products (Хартия и картон)</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Glass (Стъкло)</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Metal, bottles, crockery (Смесени битови отпадъци)</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val="restart"/>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352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Rags (Парцали, абсорбенти, филтърни материали, кърпи за изтриване и предпазни облекла)</w:t>
                  </w:r>
                </w:p>
              </w:tc>
              <w:tc>
                <w:tcPr>
                  <w:tcW w:w="139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rHeight w:val="165"/>
                <w:tblCellSpacing w:w="0" w:type="dxa"/>
              </w:trPr>
              <w:tc>
                <w:tcPr>
                  <w:tcW w:w="4920" w:type="dxa"/>
                  <w:gridSpan w:val="2"/>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*Indicate the proper shipping name of NLS involved.</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(Посочете точното търговско наименование на съответното вредно течно вещество.)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 Indicate the proper shipping name of the </w:t>
                  </w:r>
                  <w:r>
                    <w:rPr>
                      <w:rFonts w:ascii="Times New Roman" w:hAnsi="Times New Roman"/>
                      <w:sz w:val="24"/>
                      <w:szCs w:val="24"/>
                      <w:lang w:val="x-none"/>
                    </w:rPr>
                    <w:lastRenderedPageBreak/>
                    <w:t>dry cargo.</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(Посочете точното търговско наименование на сухия товар.)</w:t>
                  </w:r>
                </w:p>
              </w:tc>
              <w:tc>
                <w:tcPr>
                  <w:tcW w:w="270" w:type="dxa"/>
                  <w:vMerge/>
                  <w:tcBorders>
                    <w:top w:val="single" w:sz="6" w:space="0" w:color="A0A0A0"/>
                    <w:left w:val="single" w:sz="6" w:space="0" w:color="A0A0A0"/>
                    <w:bottom w:val="single" w:sz="6" w:space="0" w:color="F0F0F0"/>
                    <w:right w:val="single" w:sz="6" w:space="0" w:color="F0F0F0"/>
                  </w:tcBorders>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4305" w:type="dxa"/>
                  <w:gridSpan w:val="2"/>
                  <w:vMerge/>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rPr>
                      <w:rFonts w:ascii="Times New Roman" w:hAnsi="Times New Roman"/>
                      <w:sz w:val="24"/>
                      <w:szCs w:val="24"/>
                      <w:lang w:val="x-none"/>
                    </w:rPr>
                  </w:pPr>
                </w:p>
              </w:tc>
              <w:tc>
                <w:tcPr>
                  <w:tcW w:w="675" w:type="dxa"/>
                  <w:tcBorders>
                    <w:top w:val="single" w:sz="6" w:space="0" w:color="A0A0A0"/>
                    <w:left w:val="single" w:sz="6" w:space="0" w:color="A0A0A0"/>
                    <w:bottom w:val="single" w:sz="6" w:space="0" w:color="F0F0F0"/>
                    <w:right w:val="single" w:sz="6" w:space="0" w:color="F0F0F0"/>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737C3" w:rsidRDefault="00C737C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2</w:t>
      </w:r>
    </w:p>
    <w:p w:rsidR="00C737C3" w:rsidRDefault="00C737C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7, ал. 4</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737C3">
        <w:trPr>
          <w:tblCellSpacing w:w="15" w:type="dxa"/>
        </w:trPr>
        <w:tc>
          <w:tcPr>
            <w:tcW w:w="10185"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bl>
            <w:tblPr>
              <w:tblW w:w="10200" w:type="dxa"/>
              <w:tblCellSpacing w:w="0" w:type="dxa"/>
              <w:tblLayout w:type="fixed"/>
              <w:tblCellMar>
                <w:left w:w="0" w:type="dxa"/>
                <w:right w:w="0" w:type="dxa"/>
              </w:tblCellMar>
              <w:tblLook w:val="0000" w:firstRow="0" w:lastRow="0" w:firstColumn="0" w:lastColumn="0" w:noHBand="0" w:noVBand="0"/>
            </w:tblPr>
            <w:tblGrid>
              <w:gridCol w:w="3195"/>
              <w:gridCol w:w="300"/>
              <w:gridCol w:w="3405"/>
              <w:gridCol w:w="3300"/>
            </w:tblGrid>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EXEMPTION CERTIFICATE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b/>
                      <w:bCs/>
                      <w:sz w:val="24"/>
                      <w:szCs w:val="24"/>
                      <w:lang w:val="x-none"/>
                    </w:rPr>
                  </w:pPr>
                  <w:r>
                    <w:rPr>
                      <w:rFonts w:ascii="Times New Roman" w:hAnsi="Times New Roman"/>
                      <w:sz w:val="24"/>
                      <w:szCs w:val="24"/>
                      <w:lang w:val="x-none"/>
                    </w:rPr>
                    <w:t xml:space="preserve"> AT THE PORT[S] OF [</w:t>
                  </w:r>
                  <w:r>
                    <w:rPr>
                      <w:rFonts w:ascii="Times New Roman" w:hAnsi="Times New Roman"/>
                      <w:b/>
                      <w:bCs/>
                      <w:i/>
                      <w:iCs/>
                      <w:sz w:val="24"/>
                      <w:szCs w:val="24"/>
                      <w:lang w:val="x-none"/>
                    </w:rPr>
                    <w:t>INSERT PORT</w:t>
                  </w:r>
                  <w:r>
                    <w:rPr>
                      <w:rFonts w:ascii="Times New Roman" w:hAnsi="Times New Roman"/>
                      <w:b/>
                      <w:bCs/>
                      <w:sz w:val="24"/>
                      <w:szCs w:val="24"/>
                      <w:lang w:val="x-none"/>
                    </w:rPr>
                    <w:t>] IN [</w:t>
                  </w:r>
                  <w:r>
                    <w:rPr>
                      <w:rFonts w:ascii="Times New Roman" w:hAnsi="Times New Roman"/>
                      <w:b/>
                      <w:bCs/>
                      <w:i/>
                      <w:iCs/>
                      <w:sz w:val="24"/>
                      <w:szCs w:val="24"/>
                      <w:lang w:val="x-none"/>
                    </w:rPr>
                    <w:t>INSERT MEMBER STATE</w:t>
                  </w:r>
                  <w:r>
                    <w:rPr>
                      <w:rFonts w:ascii="Times New Roman" w:hAnsi="Times New Roman"/>
                      <w:b/>
                      <w:bCs/>
                      <w:sz w:val="24"/>
                      <w:szCs w:val="24"/>
                      <w:lang w:val="x-none"/>
                    </w:rPr>
                    <w:t>](1)</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УДОСТОВЕРЕНИЕ ЗА ОСВОБОЖДАВАНЕ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 ЗА ПРИСТАНИЩЕ(A) БУРГАС/ВАРНА(1) В РЕПУБЛИКА БЪЛГАРИЯ</w:t>
                  </w:r>
                </w:p>
              </w:tc>
            </w:tr>
            <w:tr w:rsidR="00C737C3">
              <w:trPr>
                <w:tblCellSpacing w:w="0" w:type="dxa"/>
              </w:trPr>
              <w:tc>
                <w:tcPr>
                  <w:tcW w:w="3495" w:type="dxa"/>
                  <w:gridSpan w:val="2"/>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Name of ship</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Име на кораба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3405"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Distinctive number or letters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Цифрово/буквено обозначение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c>
                <w:tcPr>
                  <w:tcW w:w="33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Flag State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Държава на знамето</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is in scheduled traffic with frequent and regular port calls at the following port(s) located in the Republic of Bulgaria according to a schedule or predetermined route: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извършва редовни превози с чести и редовни посещения в следното(ите) пристанище(а) в Република България по график или по предварително определен маршрут:</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and calls at these ports at least once a fortnight:</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посещава тези пристанища поне веднъж на четиринадесет дни: .………………………………………............................…</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and has made an arrangement to ensure the payment of the fees and the delivery of waste to the port or a third party at the port of:</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има сключено споразумение, гарантиращо плащането на таксите и предаването на отпадъци с пристанището или с трета страна, действаща на пристанището: ……………………………………………………</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and is thus exempted, in accordance with Art. 7, par. 4 of the Ordinance No. 15 on the delivery and reception of waste from ships, from the requirements on:</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поради което е освободен в съответствие с чл. 7, ал. 4 от Наредба № 15 за предаване и приемане на отпадъци от кораби от изискванията за: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mandatory delivery of waste from ships,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задължително предаване на отпадъци от кораби,</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advance waste notification, and</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предварителното уведомление за отпадъци и</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payment of the mandatory fee, at the following port(s):</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плащането на задължителна такса, в следното(ите) пристанище(а): …….…………………………………..........................</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This certificate is valid until [… insert date …], unless the grounds for issuing the certificate are changed before that date.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Настоящото удостоверение е валидно до [… </w:t>
                  </w:r>
                  <w:r>
                    <w:rPr>
                      <w:rFonts w:ascii="Times New Roman" w:hAnsi="Times New Roman"/>
                      <w:i/>
                      <w:iCs/>
                      <w:sz w:val="24"/>
                      <w:szCs w:val="24"/>
                      <w:lang w:val="x-none"/>
                    </w:rPr>
                    <w:t>впишете датата</w:t>
                  </w:r>
                  <w:r>
                    <w:rPr>
                      <w:rFonts w:ascii="Times New Roman" w:hAnsi="Times New Roman"/>
                      <w:sz w:val="24"/>
                      <w:szCs w:val="24"/>
                      <w:lang w:val="x-none"/>
                    </w:rPr>
                    <w:t xml:space="preserve"> …], освен ако основанията за издаването му не се променят преди тази дата.</w:t>
                  </w:r>
                </w:p>
              </w:tc>
            </w:tr>
            <w:tr w:rsidR="00C737C3">
              <w:trPr>
                <w:tblCellSpacing w:w="0" w:type="dxa"/>
              </w:trPr>
              <w:tc>
                <w:tcPr>
                  <w:tcW w:w="3195"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Place and date: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Място и дата:</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005" w:type="dxa"/>
                  <w:gridSpan w:val="3"/>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Name Име</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Title Длъжност</w:t>
                  </w:r>
                </w:p>
              </w:tc>
            </w:tr>
            <w:tr w:rsidR="00C737C3">
              <w:trPr>
                <w:tblCellSpacing w:w="0" w:type="dxa"/>
              </w:trPr>
              <w:tc>
                <w:tcPr>
                  <w:tcW w:w="10200" w:type="dxa"/>
                  <w:gridSpan w:val="4"/>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__________________________________________</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Delete if not appropriate.</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Ненужното се зачертава.</w:t>
                  </w:r>
                </w:p>
              </w:tc>
            </w:tr>
            <w:tr w:rsidR="00C737C3">
              <w:trPr>
                <w:tblCellSpacing w:w="0" w:type="dxa"/>
              </w:trPr>
              <w:tc>
                <w:tcPr>
                  <w:tcW w:w="3195"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00"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405"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3300" w:type="dxa"/>
                  <w:tcBorders>
                    <w:top w:val="nil"/>
                    <w:left w:val="nil"/>
                    <w:bottom w:val="nil"/>
                    <w:right w:val="nil"/>
                  </w:tcBorders>
                  <w:vAlign w:val="center"/>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737C3" w:rsidRDefault="00C737C3">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C737C3" w:rsidRDefault="00C737C3">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13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C737C3">
        <w:trPr>
          <w:tblCellSpacing w:w="15" w:type="dxa"/>
        </w:trPr>
        <w:tc>
          <w:tcPr>
            <w:tcW w:w="12060" w:type="dxa"/>
            <w:tcBorders>
              <w:top w:val="nil"/>
              <w:left w:val="nil"/>
              <w:bottom w:val="nil"/>
              <w:right w:val="nil"/>
            </w:tcBorders>
            <w:vAlign w:val="center"/>
          </w:tcPr>
          <w:tbl>
            <w:tblPr>
              <w:tblW w:w="0" w:type="auto"/>
              <w:tblCellSpacing w:w="0" w:type="dxa"/>
              <w:tblLayout w:type="fixed"/>
              <w:tblCellMar>
                <w:left w:w="0" w:type="dxa"/>
                <w:right w:w="0" w:type="dxa"/>
              </w:tblCellMar>
              <w:tblLook w:val="0000" w:firstRow="0" w:lastRow="0" w:firstColumn="0" w:lastColumn="0" w:noHBand="0" w:noVBand="0"/>
            </w:tblPr>
            <w:tblGrid>
              <w:gridCol w:w="450"/>
              <w:gridCol w:w="1065"/>
              <w:gridCol w:w="795"/>
              <w:gridCol w:w="1080"/>
              <w:gridCol w:w="1215"/>
              <w:gridCol w:w="795"/>
              <w:gridCol w:w="1185"/>
              <w:gridCol w:w="990"/>
              <w:gridCol w:w="1005"/>
              <w:gridCol w:w="1110"/>
              <w:gridCol w:w="960"/>
              <w:gridCol w:w="1200"/>
            </w:tblGrid>
            <w:tr w:rsidR="00C737C3">
              <w:trPr>
                <w:tblCellSpacing w:w="0" w:type="dxa"/>
              </w:trPr>
              <w:tc>
                <w:tcPr>
                  <w:tcW w:w="11850" w:type="dxa"/>
                  <w:gridSpan w:val="12"/>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Предадени корабни отпадъци</w:t>
                  </w:r>
                </w:p>
              </w:tc>
            </w:tr>
            <w:tr w:rsidR="00C737C3">
              <w:trPr>
                <w:tblCellSpacing w:w="0" w:type="dxa"/>
              </w:trPr>
              <w:tc>
                <w:tcPr>
                  <w:tcW w:w="11850" w:type="dxa"/>
                  <w:gridSpan w:val="12"/>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пристанище .........................................................................................................................................................................</w:t>
                  </w:r>
                </w:p>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за периода ...............................................................................................................................................................................</w:t>
                  </w:r>
                </w:p>
              </w:tc>
            </w:tr>
            <w:tr w:rsidR="00C737C3">
              <w:trPr>
                <w:tblCellSpacing w:w="0" w:type="dxa"/>
              </w:trPr>
              <w:tc>
                <w:tcPr>
                  <w:tcW w:w="450" w:type="dxa"/>
                  <w:vMerge w:val="restart"/>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по</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ред</w:t>
                  </w:r>
                </w:p>
              </w:tc>
              <w:tc>
                <w:tcPr>
                  <w:tcW w:w="1065" w:type="dxa"/>
                  <w:vMerge w:val="restart"/>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Дата</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на предаване</w:t>
                  </w:r>
                </w:p>
              </w:tc>
              <w:tc>
                <w:tcPr>
                  <w:tcW w:w="795" w:type="dxa"/>
                  <w:vMerge w:val="restart"/>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Име на кораба</w:t>
                  </w:r>
                </w:p>
              </w:tc>
              <w:tc>
                <w:tcPr>
                  <w:tcW w:w="3090" w:type="dxa"/>
                  <w:gridSpan w:val="3"/>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Предадени твърди отпадъци – </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тип и количество в [м3]</w:t>
                  </w:r>
                </w:p>
              </w:tc>
              <w:tc>
                <w:tcPr>
                  <w:tcW w:w="1185" w:type="dxa"/>
                  <w:vMerge w:val="restart"/>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Оператор, приел отпадъците</w:t>
                  </w:r>
                </w:p>
              </w:tc>
              <w:tc>
                <w:tcPr>
                  <w:tcW w:w="4065" w:type="dxa"/>
                  <w:gridSpan w:val="4"/>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 xml:space="preserve">Предадени течни отпадъци – </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тип и количество в [м3]</w:t>
                  </w:r>
                </w:p>
              </w:tc>
              <w:tc>
                <w:tcPr>
                  <w:tcW w:w="1200" w:type="dxa"/>
                  <w:vMerge w:val="restart"/>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Оператор, приел отпадъците</w:t>
                  </w:r>
                </w:p>
              </w:tc>
            </w:tr>
            <w:tr w:rsidR="00C737C3">
              <w:trPr>
                <w:tblCellSpacing w:w="0" w:type="dxa"/>
              </w:trPr>
              <w:tc>
                <w:tcPr>
                  <w:tcW w:w="450" w:type="dxa"/>
                  <w:vMerge/>
                  <w:tcBorders>
                    <w:top w:val="nil"/>
                    <w:left w:val="nil"/>
                    <w:bottom w:val="nil"/>
                    <w:right w:val="nil"/>
                  </w:tcBorders>
                </w:tcPr>
                <w:p w:rsidR="00C737C3" w:rsidRDefault="00C737C3">
                  <w:pPr>
                    <w:widowControl w:val="0"/>
                    <w:autoSpaceDE w:val="0"/>
                    <w:autoSpaceDN w:val="0"/>
                    <w:adjustRightInd w:val="0"/>
                    <w:spacing w:after="0" w:line="240" w:lineRule="auto"/>
                    <w:rPr>
                      <w:rFonts w:ascii="Courier New" w:hAnsi="Courier New" w:cs="Courier New"/>
                      <w:sz w:val="20"/>
                      <w:szCs w:val="20"/>
                      <w:lang w:val="x-none"/>
                    </w:rPr>
                  </w:pPr>
                </w:p>
              </w:tc>
              <w:tc>
                <w:tcPr>
                  <w:tcW w:w="1065" w:type="dxa"/>
                  <w:vMerge/>
                  <w:tcBorders>
                    <w:top w:val="nil"/>
                    <w:left w:val="nil"/>
                    <w:bottom w:val="nil"/>
                    <w:right w:val="nil"/>
                  </w:tcBorders>
                </w:tcPr>
                <w:p w:rsidR="00C737C3" w:rsidRDefault="00C737C3">
                  <w:pPr>
                    <w:widowControl w:val="0"/>
                    <w:autoSpaceDE w:val="0"/>
                    <w:autoSpaceDN w:val="0"/>
                    <w:adjustRightInd w:val="0"/>
                    <w:spacing w:after="0" w:line="240" w:lineRule="auto"/>
                    <w:rPr>
                      <w:rFonts w:ascii="Courier New" w:hAnsi="Courier New" w:cs="Courier New"/>
                      <w:sz w:val="20"/>
                      <w:szCs w:val="20"/>
                      <w:lang w:val="x-none"/>
                    </w:rPr>
                  </w:pPr>
                </w:p>
              </w:tc>
              <w:tc>
                <w:tcPr>
                  <w:tcW w:w="795" w:type="dxa"/>
                  <w:vMerge/>
                  <w:tcBorders>
                    <w:top w:val="nil"/>
                    <w:left w:val="nil"/>
                    <w:bottom w:val="nil"/>
                    <w:right w:val="nil"/>
                  </w:tcBorders>
                </w:tcPr>
                <w:p w:rsidR="00C737C3" w:rsidRDefault="00C737C3">
                  <w:pPr>
                    <w:widowControl w:val="0"/>
                    <w:autoSpaceDE w:val="0"/>
                    <w:autoSpaceDN w:val="0"/>
                    <w:adjustRightInd w:val="0"/>
                    <w:spacing w:after="0" w:line="240" w:lineRule="auto"/>
                    <w:rPr>
                      <w:rFonts w:ascii="Courier New" w:hAnsi="Courier New" w:cs="Courier New"/>
                      <w:sz w:val="20"/>
                      <w:szCs w:val="20"/>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пластмаси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plastics</w:t>
                  </w: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хранителни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food</w:t>
                  </w: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други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other</w:t>
                  </w:r>
                </w:p>
              </w:tc>
              <w:tc>
                <w:tcPr>
                  <w:tcW w:w="1185" w:type="dxa"/>
                  <w:vMerge/>
                  <w:tcBorders>
                    <w:top w:val="nil"/>
                    <w:left w:val="nil"/>
                    <w:bottom w:val="nil"/>
                    <w:right w:val="nil"/>
                  </w:tcBorders>
                </w:tcPr>
                <w:p w:rsidR="00C737C3" w:rsidRDefault="00C737C3">
                  <w:pPr>
                    <w:widowControl w:val="0"/>
                    <w:autoSpaceDE w:val="0"/>
                    <w:autoSpaceDN w:val="0"/>
                    <w:adjustRightInd w:val="0"/>
                    <w:spacing w:after="0" w:line="240" w:lineRule="auto"/>
                    <w:rPr>
                      <w:rFonts w:ascii="Courier New" w:hAnsi="Courier New" w:cs="Courier New"/>
                      <w:sz w:val="20"/>
                      <w:szCs w:val="20"/>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сантинни води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bilge water</w:t>
                  </w: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нефтени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отпадъци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sludge</w:t>
                  </w: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отпадъчни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sewage</w:t>
                  </w: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баластни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води</w:t>
                  </w: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ballast water</w:t>
                  </w:r>
                </w:p>
              </w:tc>
              <w:tc>
                <w:tcPr>
                  <w:tcW w:w="1200" w:type="dxa"/>
                  <w:vMerge/>
                  <w:tcBorders>
                    <w:top w:val="nil"/>
                    <w:left w:val="nil"/>
                    <w:bottom w:val="nil"/>
                    <w:right w:val="nil"/>
                  </w:tcBorders>
                </w:tcPr>
                <w:p w:rsidR="00C737C3" w:rsidRDefault="00C737C3">
                  <w:pPr>
                    <w:widowControl w:val="0"/>
                    <w:autoSpaceDE w:val="0"/>
                    <w:autoSpaceDN w:val="0"/>
                    <w:adjustRightInd w:val="0"/>
                    <w:spacing w:after="0" w:line="240" w:lineRule="auto"/>
                    <w:rPr>
                      <w:rFonts w:ascii="Courier New" w:hAnsi="Courier New" w:cs="Courier New"/>
                      <w:sz w:val="20"/>
                      <w:szCs w:val="20"/>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3.</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4.</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5.</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lastRenderedPageBreak/>
                    <w:t>6.</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7.</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8.</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9.</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10.</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11.</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12.</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13.</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14.</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15.</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16.</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17.</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18.</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19.</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20.</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21.</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r w:rsidR="00C737C3">
              <w:trPr>
                <w:tblCellSpacing w:w="0" w:type="dxa"/>
              </w:trPr>
              <w:tc>
                <w:tcPr>
                  <w:tcW w:w="45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p w:rsidR="00C737C3" w:rsidRDefault="00C737C3">
                  <w:pPr>
                    <w:widowControl w:val="0"/>
                    <w:autoSpaceDE w:val="0"/>
                    <w:autoSpaceDN w:val="0"/>
                    <w:adjustRightInd w:val="0"/>
                    <w:spacing w:after="0" w:line="240" w:lineRule="auto"/>
                    <w:jc w:val="center"/>
                    <w:rPr>
                      <w:rFonts w:ascii="Times New Roman" w:hAnsi="Times New Roman"/>
                      <w:sz w:val="24"/>
                      <w:szCs w:val="24"/>
                      <w:lang w:val="x-none"/>
                    </w:rPr>
                  </w:pPr>
                  <w:r>
                    <w:rPr>
                      <w:rFonts w:ascii="Times New Roman" w:hAnsi="Times New Roman"/>
                      <w:sz w:val="24"/>
                      <w:szCs w:val="24"/>
                      <w:lang w:val="x-none"/>
                    </w:rPr>
                    <w:t>22.</w:t>
                  </w:r>
                </w:p>
              </w:tc>
              <w:tc>
                <w:tcPr>
                  <w:tcW w:w="106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8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1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79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8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9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005"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11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96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c>
                <w:tcPr>
                  <w:tcW w:w="1200" w:type="dxa"/>
                  <w:tcBorders>
                    <w:top w:val="nil"/>
                    <w:left w:val="nil"/>
                    <w:bottom w:val="nil"/>
                    <w:right w:val="nil"/>
                  </w:tcBorders>
                </w:tcPr>
                <w:p w:rsidR="00C737C3" w:rsidRDefault="00C737C3">
                  <w:pPr>
                    <w:widowControl w:val="0"/>
                    <w:autoSpaceDE w:val="0"/>
                    <w:autoSpaceDN w:val="0"/>
                    <w:adjustRightInd w:val="0"/>
                    <w:spacing w:after="0" w:line="240" w:lineRule="auto"/>
                    <w:ind w:firstLine="480"/>
                    <w:jc w:val="both"/>
                    <w:rPr>
                      <w:rFonts w:ascii="Times New Roman" w:hAnsi="Times New Roman"/>
                      <w:sz w:val="24"/>
                      <w:szCs w:val="24"/>
                      <w:lang w:val="x-none"/>
                    </w:rPr>
                  </w:pPr>
                </w:p>
              </w:tc>
            </w:tr>
          </w:tbl>
          <w:p w:rsidR="00C737C3" w:rsidRDefault="00C737C3">
            <w:pPr>
              <w:widowControl w:val="0"/>
              <w:autoSpaceDE w:val="0"/>
              <w:autoSpaceDN w:val="0"/>
              <w:adjustRightInd w:val="0"/>
              <w:spacing w:after="0" w:line="240" w:lineRule="auto"/>
              <w:ind w:firstLine="480"/>
              <w:jc w:val="both"/>
              <w:rPr>
                <w:rFonts w:ascii="Courier New" w:hAnsi="Courier New" w:cs="Courier New"/>
                <w:sz w:val="20"/>
                <w:szCs w:val="20"/>
                <w:lang w:val="x-none"/>
              </w:rPr>
            </w:pPr>
          </w:p>
        </w:tc>
      </w:tr>
    </w:tbl>
    <w:p w:rsidR="00C737C3" w:rsidRDefault="00C737C3">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C737C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AC"/>
    <w:rsid w:val="007F6B64"/>
    <w:rsid w:val="00A836AC"/>
    <w:rsid w:val="00C737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0403BD-4273-4D82-AB99-D61F3B3F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6622</Words>
  <Characters>37748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2024-02-16T12:59:00Z</dcterms:created>
  <dcterms:modified xsi:type="dcterms:W3CDTF">2024-02-16T12:59:00Z</dcterms:modified>
</cp:coreProperties>
</file>