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3A50" w:rsidRDefault="001E3A50" w:rsidP="00470E66">
      <w:pPr>
        <w:pStyle w:val="a"/>
        <w:spacing w:before="120" w:after="0" w:line="276" w:lineRule="auto"/>
        <w:jc w:val="right"/>
        <w:rPr>
          <w:rFonts w:eastAsia="Microsoft Sans Serif" w:cstheme="majorBidi"/>
          <w:b/>
          <w:i/>
          <w:iCs/>
          <w:lang w:eastAsia="bg-BG" w:bidi="bg-BG"/>
        </w:rPr>
      </w:pPr>
      <w:r w:rsidRPr="00CB125B">
        <w:rPr>
          <w:rFonts w:eastAsia="Microsoft Sans Serif" w:cstheme="majorBidi"/>
          <w:b/>
          <w:i/>
          <w:iCs/>
          <w:lang w:eastAsia="bg-BG" w:bidi="bg-BG"/>
        </w:rPr>
        <w:t>Приложение</w:t>
      </w:r>
      <w:r>
        <w:rPr>
          <w:rFonts w:eastAsia="Microsoft Sans Serif" w:cstheme="majorBidi"/>
          <w:b/>
          <w:i/>
          <w:iCs/>
          <w:lang w:val="en-US" w:eastAsia="bg-BG" w:bidi="bg-BG"/>
        </w:rPr>
        <w:t xml:space="preserve"> 4</w:t>
      </w:r>
      <w:r w:rsidRPr="00CB125B">
        <w:rPr>
          <w:rFonts w:eastAsia="Microsoft Sans Serif" w:cstheme="majorBidi"/>
          <w:b/>
          <w:i/>
          <w:iCs/>
          <w:lang w:eastAsia="bg-BG" w:bidi="bg-BG"/>
        </w:rPr>
        <w:t xml:space="preserve"> </w:t>
      </w:r>
    </w:p>
    <w:p w:rsidR="00A43980" w:rsidRDefault="00B67376" w:rsidP="00470E66">
      <w:pPr>
        <w:pStyle w:val="a"/>
        <w:spacing w:before="120" w:after="0" w:line="276" w:lineRule="auto"/>
        <w:jc w:val="center"/>
        <w:rPr>
          <w:b/>
          <w:bCs/>
          <w:szCs w:val="24"/>
        </w:rPr>
      </w:pPr>
      <w:r>
        <w:rPr>
          <w:b/>
          <w:bCs/>
          <w:szCs w:val="24"/>
        </w:rPr>
        <w:t>Иновации в България 2021</w:t>
      </w:r>
    </w:p>
    <w:p w:rsidR="00470E66" w:rsidRDefault="00470E66" w:rsidP="00470E66">
      <w:pPr>
        <w:pStyle w:val="a"/>
        <w:spacing w:before="120" w:after="0" w:line="276" w:lineRule="auto"/>
        <w:jc w:val="center"/>
      </w:pPr>
      <w:hyperlink r:id="rId6" w:history="1">
        <w:r>
          <w:rPr>
            <w:rStyle w:val="a1"/>
            <w:szCs w:val="24"/>
          </w:rPr>
          <w:t>http://www.arcfund.net/arcartShowbg.php?id=18531</w:t>
        </w:r>
      </w:hyperlink>
    </w:p>
    <w:p w:rsidR="007115A4" w:rsidRDefault="007115A4" w:rsidP="00470E66">
      <w:pPr>
        <w:pStyle w:val="a"/>
        <w:spacing w:before="120" w:after="0" w:line="276" w:lineRule="auto"/>
        <w:jc w:val="both"/>
      </w:pPr>
    </w:p>
    <w:p w:rsidR="00A43980" w:rsidRDefault="00B67376" w:rsidP="00470E66">
      <w:pPr>
        <w:pStyle w:val="a"/>
        <w:spacing w:before="120" w:after="0" w:line="276" w:lineRule="auto"/>
        <w:jc w:val="both"/>
      </w:pPr>
      <w:r>
        <w:t xml:space="preserve">След 14-годишно пълноправно членство в ЕС България влиза в програмен период 2021 – 2027 г. с незавидни позиции по </w:t>
      </w:r>
      <w:r>
        <w:t>отношение на показателите за иновационен потенциал, цифровизиране  на бизнес моделите и разпространение на зелени технологии спрямо средните равнища на ЕС и постиженията на останалите държави от Централна и Източна Европа. Заедно с това редица предизвикате</w:t>
      </w:r>
      <w:r>
        <w:t>лства на бизнес средата остават нерешени, а България е определена като държава, бедна на финансов и човешки капитал. Последното издание на Европейското иновационно табло (ЕИТ) показва, че България остава в групата на скромните иноватори ( нововъзникващи) с</w:t>
      </w:r>
      <w:r>
        <w:t xml:space="preserve"> подобрение от 6% в сравнение с базовата 2014  г., като се нарежда сред десетте държави членки с ръст на иновационния индекс под 10%. За сравнение иновационният потенциал на европейските икономики се е подобрил средно с 12,5% за същия период. По този начин</w:t>
      </w:r>
      <w:r>
        <w:t xml:space="preserve"> България не успява да изпълни националната си цел за преминаване към по-високата категория на умерените новатори и да постигне ниво на разходите за НИРД от 1,5% от БВП. На практика изоставането на страната от средните европейски равнища продължава да се з</w:t>
      </w:r>
      <w:r>
        <w:t>адълбочава.</w:t>
      </w:r>
    </w:p>
    <w:p w:rsidR="00A43980" w:rsidRDefault="00B67376" w:rsidP="00470E66">
      <w:pPr>
        <w:pStyle w:val="a"/>
        <w:spacing w:before="120" w:after="0" w:line="276" w:lineRule="auto"/>
        <w:jc w:val="both"/>
      </w:pPr>
      <w:r>
        <w:t>Спрямо 2014 г., приета за базова в ЕИТ 2021, България регистрира противоречив напредък: • Повишена концентрация на ресурси, включително финансови и човешки, в изпълнението на изследователска и развойна дейност от страна на бизнеса. Ръстът на ра</w:t>
      </w:r>
      <w:r>
        <w:t>зходите за научноизследователска и иновационна дейност (НИРД) на бизнес сектора е с близо 4%. Увеличава се и заетостта в иновативни предприятия и знаниево интензивни дейности – съответно с 6% и 4%. • На този фон е налице значителен спад на иновационните ра</w:t>
      </w:r>
      <w:r>
        <w:t>зходи извън НИРД (26%) и иновационните разходи на един зает (11%). Драстичен е спадът и на рисков капитал за започване на нов бизнес и разширяване на дейността, измерен като дял от БВП – 26%. • МСП са с изразено по-висока иновационна активност. С близо 50%</w:t>
      </w:r>
      <w:r>
        <w:t xml:space="preserve"> расте иновационната дейност на МСП, изразена в лансирането на нови и подобрени продуктови предложения. Положителната промяна при малките и средните предприятия (МСП) с процесни иновации е малко под 10%. Като резултат продажбата на нови за пазара и нови за</w:t>
      </w:r>
      <w:r>
        <w:t xml:space="preserve"> фирмата продукти се увеличава с 6%. Увеличение с 16% е налице и при МСП, въвлечени в изпълнението на съвместни изследователски и иновационни проекти и технологичен трансфер както с публични и частни изследователски и университетски звена, така и с други к</w:t>
      </w:r>
      <w:r>
        <w:t>омпании от страната и чужбина.  • Сравнителното предимство на страната в областта на заявките за търговски марки се подкрепя от ръст на показателя от малко над 10%. При заявките за дизайн, където страната също регистрира по-добри позиции спрямо средните за</w:t>
      </w:r>
      <w:r>
        <w:t xml:space="preserve"> ЕС обаче е налице намаление от 13%. • Изключително неблагоприятни са тенденциите в областта на човешките ресурси, измерени както със спад на населението с придобито по-високо образователно равнище, така и със задълбочаващите се процеси на деквалификация. </w:t>
      </w:r>
      <w:r>
        <w:lastRenderedPageBreak/>
        <w:t>На фона на ниския дял на населението с цифрови умения данните показват липса на подобрение спрямо 2014 г. по показателя за население с цифрови умения над средното равнище. В същото време броят на предприятията, които осигуряват обучение в областта на инфор</w:t>
      </w:r>
      <w:r>
        <w:t xml:space="preserve">мационните и комуникационните технологии (ИКТ), намалява с 30%, а общият брой на населението, включено в обучение през целия живот, спада с 20%. Също с 20% намалява броят на придобилите образователна и научна степен „доктор“, а спадът при броя на хората с </w:t>
      </w:r>
      <w:r>
        <w:t>висше образование е 4%.</w:t>
      </w:r>
    </w:p>
    <w:p w:rsidR="00A43980" w:rsidRDefault="00B67376" w:rsidP="00470E66">
      <w:pPr>
        <w:pStyle w:val="a"/>
        <w:spacing w:before="120" w:after="0" w:line="276" w:lineRule="auto"/>
        <w:jc w:val="both"/>
      </w:pPr>
      <w:r>
        <w:t>Въпреки че обобщените данни за иновационния индекс на България съгласно методиката на ЕИТ показват бавно, но устойчиво подобряване, на практика националната иновационна система на страната не се отличава със сравнителни предимства н</w:t>
      </w:r>
      <w:r>
        <w:t>а фона на останалите страни – членки на ЕС</w:t>
      </w:r>
    </w:p>
    <w:p w:rsidR="00A43980" w:rsidRDefault="00B67376" w:rsidP="00470E66">
      <w:pPr>
        <w:pStyle w:val="a"/>
        <w:spacing w:before="120" w:after="0" w:line="276" w:lineRule="auto"/>
        <w:jc w:val="both"/>
      </w:pPr>
      <w:r>
        <w:rPr>
          <w:rStyle w:val="a0"/>
          <w:b/>
          <w:bCs/>
        </w:rPr>
        <w:t>Секторът на далекосъобщителните, компютърните и информационните услуги</w:t>
      </w:r>
      <w:r>
        <w:t xml:space="preserve"> e големият печеливш с ръст от 35% сред услугите през последните две години на пандемия (при общ спад на услугите с 27%). Той увеличава относит</w:t>
      </w:r>
      <w:r>
        <w:t xml:space="preserve">елната си тежест спрямо приходите от всички услуги от 10% през 2011 г. до 24% през 2021 г. и се оценява на около 2,2 млрд. евро приходи на година. Износът на далекосъобщителни, компютърни и информационни услуги расте интегрирано и увеличава значението си, </w:t>
      </w:r>
      <w:r>
        <w:t>измерено като дял на износа на ИТ услуги към целия износ на физически продукти с над 18% за двете години от началото на пандемията.</w:t>
      </w:r>
    </w:p>
    <w:p w:rsidR="00A43980" w:rsidRDefault="00B67376" w:rsidP="00470E66">
      <w:pPr>
        <w:pStyle w:val="a"/>
        <w:spacing w:before="120" w:after="0" w:line="276" w:lineRule="auto"/>
        <w:jc w:val="both"/>
      </w:pPr>
      <w:r>
        <w:t xml:space="preserve">Един от най-интересните показатели, който дава ранни сигнали за бързо подобрение, е делът предприятия, които използват </w:t>
      </w:r>
      <w:r>
        <w:rPr>
          <w:rStyle w:val="a0"/>
          <w:b/>
          <w:bCs/>
        </w:rPr>
        <w:t>техно</w:t>
      </w:r>
      <w:r>
        <w:rPr>
          <w:rStyle w:val="a0"/>
          <w:b/>
          <w:bCs/>
        </w:rPr>
        <w:t>логии с вграден изкуствен интелект</w:t>
      </w:r>
      <w:r>
        <w:t>. България заема 8-о място по този показател с малко над 31% (при средно 25% за страните от Европейския съюз) от нефинансовите фирми с над 10 души средна заетост на година, използващи поне 2 технологии с изкуствен интелект</w:t>
      </w:r>
      <w:r>
        <w:t>. По подобен начин в момента българските предприятия, които са интегрирани в международните вериги за добавяне на стойност, нямат друг избор освен да оптимизират и автоматизират бизнес процесите си не просто заедно с партньорите си, а дори изпреварващо. По</w:t>
      </w:r>
      <w:r>
        <w:t xml:space="preserve"> тези показатели България надминава средноевропейските равнища, включително защото част от европейското производство се премести в страната – автомобилна електроника и други свързани авточасти, вагони, подемни машини, бяла техника. Автоматизацията на бизне</w:t>
      </w:r>
      <w:r>
        <w:t>с процеси с вграден изкуствен интелект у нас (20%) е почти два пъти по-често срещана от средноевропейската норма (12%</w:t>
      </w:r>
      <w:r>
        <w:rPr>
          <w:rStyle w:val="a0"/>
          <w:lang w:val="en-US"/>
        </w:rPr>
        <w:t>)</w:t>
      </w:r>
      <w:r>
        <w:t>.</w:t>
      </w:r>
    </w:p>
    <w:p w:rsidR="00A43980" w:rsidRDefault="00B67376" w:rsidP="00470E66">
      <w:pPr>
        <w:pStyle w:val="a"/>
        <w:spacing w:before="120" w:after="0" w:line="276" w:lineRule="auto"/>
        <w:jc w:val="both"/>
      </w:pPr>
      <w:r>
        <w:t xml:space="preserve">Бариерите пред развитието на </w:t>
      </w:r>
      <w:r>
        <w:rPr>
          <w:rStyle w:val="a0"/>
          <w:b/>
          <w:bCs/>
        </w:rPr>
        <w:t>информационното общество</w:t>
      </w:r>
      <w:r>
        <w:t xml:space="preserve"> и цифровата икономика в страната по-често се свързват с необходимостта от промяна </w:t>
      </w:r>
      <w:r>
        <w:t>на законите и прилагането им (37% за България спрямо 29% за ЕС) и липсата на достатъчно доверие от страна на населението и потребителите (34% за България и 28% за ЕС). По всички останали външни бариери българските фирми се чувстват по-подготвени да се спра</w:t>
      </w:r>
      <w:r>
        <w:t>вят в сравнение с европейските им колеги.</w:t>
      </w:r>
    </w:p>
    <w:p w:rsidR="00A43980" w:rsidRDefault="00A43980" w:rsidP="00470E66">
      <w:pPr>
        <w:pStyle w:val="a"/>
        <w:spacing w:before="120" w:after="0" w:line="276" w:lineRule="auto"/>
        <w:jc w:val="both"/>
      </w:pPr>
    </w:p>
    <w:p w:rsidR="00A43980" w:rsidRDefault="00A43980" w:rsidP="00470E66">
      <w:pPr>
        <w:pStyle w:val="a"/>
        <w:spacing w:before="120" w:after="0" w:line="276" w:lineRule="auto"/>
        <w:jc w:val="both"/>
      </w:pPr>
    </w:p>
    <w:p w:rsidR="00A43980" w:rsidRDefault="00B67376" w:rsidP="00470E66">
      <w:pPr>
        <w:pStyle w:val="a"/>
        <w:spacing w:before="120" w:after="0" w:line="276" w:lineRule="auto"/>
        <w:jc w:val="both"/>
      </w:pPr>
      <w:r>
        <w:rPr>
          <w:rStyle w:val="a0"/>
          <w:b/>
          <w:bCs/>
          <w:noProof/>
          <w:szCs w:val="24"/>
          <w:lang w:eastAsia="bg-BG"/>
        </w:rPr>
        <w:drawing>
          <wp:inline distT="0" distB="0" distL="0" distR="0">
            <wp:extent cx="5760720" cy="2644143"/>
            <wp:effectExtent l="0" t="0" r="0" b="3807"/>
            <wp:docPr id="1" name="Картина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5760720" cy="2644143"/>
                    </a:xfrm>
                    <a:prstGeom prst="rect">
                      <a:avLst/>
                    </a:prstGeom>
                    <a:noFill/>
                    <a:ln>
                      <a:noFill/>
                      <a:prstDash/>
                    </a:ln>
                  </pic:spPr>
                </pic:pic>
              </a:graphicData>
            </a:graphic>
          </wp:inline>
        </w:drawing>
      </w:r>
    </w:p>
    <w:p w:rsidR="00A43980" w:rsidRDefault="00B67376" w:rsidP="00470E66">
      <w:pPr>
        <w:pStyle w:val="a"/>
        <w:spacing w:before="120" w:after="0" w:line="276" w:lineRule="auto"/>
        <w:jc w:val="both"/>
      </w:pPr>
      <w:r>
        <w:rPr>
          <w:rStyle w:val="a0"/>
          <w:b/>
          <w:bCs/>
        </w:rPr>
        <w:t xml:space="preserve">Място на България на европейската и международната иновационна карта </w:t>
      </w:r>
    </w:p>
    <w:p w:rsidR="00A43980" w:rsidRDefault="00B67376" w:rsidP="00470E66">
      <w:pPr>
        <w:pStyle w:val="a"/>
        <w:spacing w:before="120" w:after="0" w:line="276" w:lineRule="auto"/>
        <w:jc w:val="both"/>
      </w:pPr>
      <w:r>
        <w:t xml:space="preserve">Последното издание на Европейското иновационно табло (ЕИТ) показва, че България остава в групата на скромните иноватори ( нововъзникващи) с </w:t>
      </w:r>
      <w:r>
        <w:t>подобрение от 6% в сравнение с базовата 2014 г., като се нарежда сред десетте държави членки с ръст на иновационния индекс под 10%. За сравнение иновационният потенциал на европейските икономики се е подобрил средно с 12,5% за същия период. По този начин Б</w:t>
      </w:r>
      <w:r>
        <w:t>ългария не успява да изпълни националната си цел за преминаване към по-високата категория на умерените новатори и да постигне ниво на разходите за НИРД от 1,5% от БВП. На практика изоставането на страната от средните европейски равнища продължава да се зад</w:t>
      </w:r>
      <w:r>
        <w:t>ълбочава. Съгласно Иновационната стратегия за интелигентна специализация 2014 – 2020 г. напредъкът на България в областта на научните изследвания, технологиите и иновациите се измерва със сравнителните позиции на страната в рамките на Европейското иновацио</w:t>
      </w:r>
      <w:r>
        <w:t>нно табло и прехода към групата на умерените новатори. След края на седемгодишния програмен период и липсата на напредък в сравнение с другите държави  – членки на ЕС, същата цел е заложена в проекта на Иновационна стратегия за интелигентна специализация и</w:t>
      </w:r>
      <w:r>
        <w:t xml:space="preserve"> за периода 2021 – 2027 г</w:t>
      </w:r>
    </w:p>
    <w:p w:rsidR="00A43980" w:rsidRDefault="00B67376" w:rsidP="00470E66">
      <w:pPr>
        <w:pStyle w:val="a"/>
        <w:spacing w:before="120" w:after="0" w:line="276" w:lineRule="auto"/>
        <w:jc w:val="both"/>
      </w:pPr>
      <w:r>
        <w:t>Спрямо 2014 г., приета за базова в ЕИТ 2021, България регистрира противоречив напредък: • Повишена концентрация на ресурси, включително финансови и човешки, в изпълнението на изследователска и развойна дейност от страна на бизнеса</w:t>
      </w:r>
      <w:r>
        <w:t xml:space="preserve">. Ръстът на разходите за НИРД на бизнес сектора е с близо 4%. Увеличава се и заетостта в иновативни предприятия и знаниево интензивни дейности – съответно с 6% и 4%. </w:t>
      </w:r>
    </w:p>
    <w:p w:rsidR="00A43980" w:rsidRDefault="00A43980" w:rsidP="00470E66">
      <w:pPr>
        <w:pStyle w:val="a"/>
        <w:spacing w:before="120" w:after="0" w:line="276" w:lineRule="auto"/>
        <w:jc w:val="both"/>
      </w:pPr>
    </w:p>
    <w:p w:rsidR="00A43980" w:rsidRDefault="00B67376" w:rsidP="00470E66">
      <w:pPr>
        <w:pStyle w:val="a"/>
        <w:spacing w:before="120" w:after="0" w:line="276" w:lineRule="auto"/>
        <w:jc w:val="both"/>
      </w:pPr>
      <w:r>
        <w:rPr>
          <w:noProof/>
          <w:lang w:eastAsia="bg-BG"/>
        </w:rPr>
        <w:lastRenderedPageBreak/>
        <w:drawing>
          <wp:inline distT="0" distB="0" distL="0" distR="0">
            <wp:extent cx="5760720" cy="7550145"/>
            <wp:effectExtent l="0" t="0" r="0" b="0"/>
            <wp:docPr id="2" name="Картина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760720" cy="7550145"/>
                    </a:xfrm>
                    <a:prstGeom prst="rect">
                      <a:avLst/>
                    </a:prstGeom>
                    <a:noFill/>
                    <a:ln>
                      <a:noFill/>
                      <a:prstDash/>
                    </a:ln>
                  </pic:spPr>
                </pic:pic>
              </a:graphicData>
            </a:graphic>
          </wp:inline>
        </w:drawing>
      </w:r>
    </w:p>
    <w:p w:rsidR="00A43980" w:rsidRDefault="00A43980" w:rsidP="00470E66">
      <w:pPr>
        <w:pStyle w:val="a"/>
        <w:spacing w:before="120" w:after="0" w:line="276" w:lineRule="auto"/>
        <w:jc w:val="both"/>
        <w:rPr>
          <w:b/>
          <w:bCs/>
          <w:szCs w:val="24"/>
        </w:rPr>
      </w:pPr>
    </w:p>
    <w:p w:rsidR="00A43980" w:rsidRDefault="00B67376" w:rsidP="00470E66">
      <w:pPr>
        <w:pStyle w:val="a"/>
        <w:spacing w:before="120" w:after="0" w:line="276" w:lineRule="auto"/>
        <w:jc w:val="both"/>
      </w:pPr>
      <w:r>
        <w:rPr>
          <w:rStyle w:val="a0"/>
          <w:b/>
          <w:bCs/>
          <w:noProof/>
          <w:szCs w:val="24"/>
          <w:lang w:eastAsia="bg-BG"/>
        </w:rPr>
        <w:lastRenderedPageBreak/>
        <w:drawing>
          <wp:inline distT="0" distB="0" distL="0" distR="0">
            <wp:extent cx="5760720" cy="5596886"/>
            <wp:effectExtent l="0" t="0" r="0" b="3814"/>
            <wp:docPr id="3" name="Картина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5760720" cy="5596886"/>
                    </a:xfrm>
                    <a:prstGeom prst="rect">
                      <a:avLst/>
                    </a:prstGeom>
                    <a:noFill/>
                    <a:ln>
                      <a:noFill/>
                      <a:prstDash/>
                    </a:ln>
                  </pic:spPr>
                </pic:pic>
              </a:graphicData>
            </a:graphic>
          </wp:inline>
        </w:drawing>
      </w:r>
    </w:p>
    <w:p w:rsidR="00A43980" w:rsidRDefault="00A43980" w:rsidP="00470E66">
      <w:pPr>
        <w:pStyle w:val="a"/>
        <w:spacing w:before="120" w:after="0" w:line="276" w:lineRule="auto"/>
        <w:jc w:val="both"/>
        <w:rPr>
          <w:b/>
          <w:bCs/>
          <w:szCs w:val="24"/>
        </w:rPr>
      </w:pPr>
    </w:p>
    <w:p w:rsidR="00A43980" w:rsidRDefault="00B67376" w:rsidP="00470E66">
      <w:pPr>
        <w:pStyle w:val="a"/>
        <w:spacing w:before="120" w:after="0" w:line="276" w:lineRule="auto"/>
        <w:jc w:val="both"/>
      </w:pPr>
      <w:r>
        <w:rPr>
          <w:rStyle w:val="a0"/>
          <w:b/>
          <w:bCs/>
        </w:rPr>
        <w:t>Таланти с дигитални умения</w:t>
      </w:r>
      <w:r>
        <w:t xml:space="preserve"> </w:t>
      </w:r>
    </w:p>
    <w:p w:rsidR="00A43980" w:rsidRDefault="00B67376" w:rsidP="00470E66">
      <w:pPr>
        <w:pStyle w:val="a"/>
        <w:spacing w:before="120" w:after="0" w:line="276" w:lineRule="auto"/>
        <w:jc w:val="both"/>
      </w:pPr>
      <w:r>
        <w:t xml:space="preserve">Навлизането на нови технологии във всички </w:t>
      </w:r>
      <w:r>
        <w:t>области на обществения живот превръща експертите с дигитални компетенции в задължителни участници в новосъздадените предприятия и необходимо условие за създаването на успешни бизнес модели. Нарастващото търсене на специалисти в STEM-областите създава поред</w:t>
      </w:r>
      <w:r>
        <w:t>ица от предизвикателства, свързани с недостига на таланти, а оттам и „цената“, на която те могат да бъдат наети – често твърде висока за стартиращия бизнес. Присъствието на експерт с дигитални умения между основателите на фирмата значително помага за решав</w:t>
      </w:r>
      <w:r>
        <w:t>ането на тези предизвикателства. • 37,88% са новосъздадените предприятия в София, при които съоснователите притежават технически умения. Това нарежда българската столица на пето място между предприемаческите екосистеми в Европа. Средното за стария континен</w:t>
      </w:r>
      <w:r>
        <w:t xml:space="preserve">т </w:t>
      </w:r>
      <w:r>
        <w:lastRenderedPageBreak/>
        <w:t xml:space="preserve">равнище е 34,56%. • 33,33% са новосъздадените предприятия в България, при които съоснователите са жени, притежаващи технически умения. </w:t>
      </w:r>
      <w:r>
        <w:rPr>
          <w:rStyle w:val="a0"/>
          <w:b/>
          <w:bCs/>
        </w:rPr>
        <w:t>Това поставя страната на първо място в Европа.</w:t>
      </w:r>
    </w:p>
    <w:p w:rsidR="00A43980" w:rsidRDefault="00B67376" w:rsidP="00470E66">
      <w:pPr>
        <w:pStyle w:val="a"/>
        <w:spacing w:before="120" w:after="0" w:line="276" w:lineRule="auto"/>
        <w:jc w:val="both"/>
      </w:pPr>
      <w:r>
        <w:rPr>
          <w:rStyle w:val="a0"/>
          <w:b/>
          <w:bCs/>
          <w:noProof/>
          <w:szCs w:val="24"/>
          <w:lang w:eastAsia="bg-BG"/>
        </w:rPr>
        <w:drawing>
          <wp:inline distT="0" distB="0" distL="0" distR="0">
            <wp:extent cx="5760720" cy="3380737"/>
            <wp:effectExtent l="0" t="0" r="0" b="0"/>
            <wp:docPr id="4" name="Картина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5760720" cy="3380737"/>
                    </a:xfrm>
                    <a:prstGeom prst="rect">
                      <a:avLst/>
                    </a:prstGeom>
                    <a:noFill/>
                    <a:ln>
                      <a:noFill/>
                      <a:prstDash/>
                    </a:ln>
                  </pic:spPr>
                </pic:pic>
              </a:graphicData>
            </a:graphic>
          </wp:inline>
        </w:drawing>
      </w:r>
    </w:p>
    <w:p w:rsidR="00A43980" w:rsidRDefault="00B67376" w:rsidP="00470E66">
      <w:pPr>
        <w:pStyle w:val="a"/>
        <w:spacing w:before="120" w:after="0" w:line="276" w:lineRule="auto"/>
        <w:jc w:val="both"/>
      </w:pPr>
      <w:r>
        <w:rPr>
          <w:rStyle w:val="a0"/>
          <w:b/>
          <w:bCs/>
          <w:noProof/>
          <w:szCs w:val="24"/>
          <w:lang w:eastAsia="bg-BG"/>
        </w:rPr>
        <w:lastRenderedPageBreak/>
        <w:drawing>
          <wp:inline distT="0" distB="0" distL="0" distR="0">
            <wp:extent cx="5760720" cy="7197086"/>
            <wp:effectExtent l="0" t="0" r="0" b="3814"/>
            <wp:docPr id="5" name="Картина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5760720" cy="7197086"/>
                    </a:xfrm>
                    <a:prstGeom prst="rect">
                      <a:avLst/>
                    </a:prstGeom>
                    <a:noFill/>
                    <a:ln>
                      <a:noFill/>
                      <a:prstDash/>
                    </a:ln>
                  </pic:spPr>
                </pic:pic>
              </a:graphicData>
            </a:graphic>
          </wp:inline>
        </w:drawing>
      </w:r>
    </w:p>
    <w:p w:rsidR="00A43980" w:rsidRDefault="00A43980" w:rsidP="00470E66">
      <w:pPr>
        <w:pStyle w:val="a"/>
        <w:spacing w:before="120" w:after="0" w:line="276" w:lineRule="auto"/>
        <w:jc w:val="both"/>
        <w:rPr>
          <w:b/>
          <w:bCs/>
          <w:szCs w:val="24"/>
        </w:rPr>
      </w:pPr>
    </w:p>
    <w:p w:rsidR="00A43980" w:rsidRDefault="00A43980" w:rsidP="00470E66">
      <w:pPr>
        <w:pStyle w:val="a"/>
        <w:spacing w:before="120" w:after="0" w:line="276" w:lineRule="auto"/>
        <w:jc w:val="both"/>
        <w:rPr>
          <w:b/>
          <w:bCs/>
          <w:szCs w:val="24"/>
        </w:rPr>
      </w:pPr>
    </w:p>
    <w:p w:rsidR="007115A4" w:rsidRDefault="007115A4">
      <w:pPr>
        <w:rPr>
          <w:rFonts w:ascii="Times New Roman" w:hAnsi="Times New Roman"/>
          <w:sz w:val="24"/>
          <w:lang w:val="bg-BG"/>
        </w:rPr>
      </w:pPr>
      <w:r>
        <w:br w:type="page"/>
      </w:r>
    </w:p>
    <w:p w:rsidR="00A43980" w:rsidRDefault="00B67376" w:rsidP="00470E66">
      <w:pPr>
        <w:pStyle w:val="a"/>
        <w:spacing w:before="120" w:after="0" w:line="276" w:lineRule="auto"/>
        <w:jc w:val="both"/>
        <w:rPr>
          <w:b/>
          <w:bCs/>
        </w:rPr>
      </w:pPr>
      <w:bookmarkStart w:id="0" w:name="_GoBack"/>
      <w:bookmarkEnd w:id="0"/>
      <w:r>
        <w:rPr>
          <w:b/>
          <w:bCs/>
        </w:rPr>
        <w:lastRenderedPageBreak/>
        <w:t xml:space="preserve">Информационни и комуникационни технологии </w:t>
      </w:r>
    </w:p>
    <w:p w:rsidR="00A43980" w:rsidRDefault="00B67376" w:rsidP="00470E66">
      <w:pPr>
        <w:pStyle w:val="a"/>
        <w:spacing w:before="120" w:after="0" w:line="276" w:lineRule="auto"/>
        <w:jc w:val="both"/>
      </w:pPr>
      <w:r>
        <w:t>Информационните</w:t>
      </w:r>
      <w:r>
        <w:t xml:space="preserve"> и комуникационните технологии (ИКТ) са един от най-важните двигатели на иновативността на предприятията и растежа на икономиките. ИКТ влизат в предприятията като технологии с общо предназначение и вградени в новите производствени и управленски процеси, пр</w:t>
      </w:r>
      <w:r>
        <w:t>оменят организационните граници и трансформират моделите на добавяне на стойност, конкуренция и потребление. Ефектите от използването им включват намалени относителни транзакционни разходи, скъсяване на продуктовия цикъл и структурни изменения в пазарите (</w:t>
      </w:r>
      <w:r>
        <w:t>конвергенция, концентрация и договорна сила).</w:t>
      </w:r>
    </w:p>
    <w:p w:rsidR="00A43980" w:rsidRDefault="00B67376" w:rsidP="00470E66">
      <w:pPr>
        <w:pStyle w:val="a"/>
        <w:spacing w:before="120" w:after="0" w:line="276" w:lineRule="auto"/>
        <w:jc w:val="both"/>
      </w:pPr>
      <w:r>
        <w:t>Разходите за НИРД, патентна активност и рисковото финансиране в ИКТ сектора надминават значително разходите в останалите сектори в страните от ОИСР. НИРД, фокусирана върху ИКТ, нано- и нови материали, е сред на</w:t>
      </w:r>
      <w:r>
        <w:t xml:space="preserve">й-значимите тласкащи фактори за продуктовите иновации. Издърпващите фактори са свързани с индустриите на свободното време (в т.ч. електронните игри) и здравето. Съвременните процесни и маркетингови иновации са закономерно следствие от приложението на ИКТ. </w:t>
      </w:r>
      <w:r>
        <w:t>Интернет и уеб базираните услуги предизвикват значими социални иновации, включително в областта на политическите процеси и държавното управление. ИКТ инфраструктурата вече се разглежда като съществена част от критичната инфраструктура на всяка страна, а въ</w:t>
      </w:r>
      <w:r>
        <w:t xml:space="preserve">просите за цифровата сигурност стават първостепенни за всяка държавна или корпоративна политика. Границите на икономическите сектори, балансите на междуотрасловите връзки, трудовата заетост и веригите за добавяне на стойност продължават да се променят под </w:t>
      </w:r>
      <w:r>
        <w:t>въздействието на информационните и комуникационните технологии. Вече втора поредна година 21 от най-големите 100 компании като заетост в България (осигуряващи също и 21% от заетостта) са от ИКТ сектора. Информационни и комуникационни технологии Информацион</w:t>
      </w:r>
      <w:r>
        <w:t>ните и комуникационните технологии (ИКТ) са един от най-важните двигатели на иновативността на предприятията и растежа на икономиките. ИКТ влизат в предприятията като технологии с общо предназначение и вградени в новите производствени и управленски процеси</w:t>
      </w:r>
      <w:r>
        <w:t>, променят организационните граници и трансформират моделите на добавяне на стойност, конкуренция и потребление. Ефектите от използването им включват намалени относителни транзакционни разходи, скъсяване на продуктовия цикъл и структурни изменения в пазари</w:t>
      </w:r>
      <w:r>
        <w:t>те (конвергенция, концентрация и договорна сила).  . Този тип сътрудничество между бизнеса и университетите съвсем естествено ще прерасне в общи изследвания и публикации. България се утвърди като ключов център на компетентност за обслужване на клиенти в ра</w:t>
      </w:r>
      <w:r>
        <w:t>злични сфери като финтех и иншуъртех, гейминг (класически и хазартен), приложения на изкуствен интелект (Шварц ИТ), големи данни (Експириън) и семантичен анализ (Онтотекст) и анализ на сантиментите (А Дейта Про). В различни ниши се наблюдава клъстерно навл</w:t>
      </w:r>
      <w:r>
        <w:t>изане на редица големи международни компании,  Въпреки сравнително недоброто си общо представяне, България има няколко ключови показателя, по които се „класира“ на челни места от гледна точка на Индекса на цифровата икономика и общество на Европейската ком</w:t>
      </w:r>
      <w:r>
        <w:t xml:space="preserve">исия и други свързани </w:t>
      </w:r>
      <w:r>
        <w:lastRenderedPageBreak/>
        <w:t xml:space="preserve">изследвания. Фокусирането върху „успеха“ е важно, за да се анализират факторите, които правят възможни тези успехи, за да се формулират политики, които да могат да придвижат страната в посока на подобряване на онези показатели, които </w:t>
      </w:r>
      <w:r>
        <w:t xml:space="preserve">възпрепятстват догонващото икономическо развитие. </w:t>
      </w:r>
    </w:p>
    <w:p w:rsidR="00A43980" w:rsidRDefault="00B67376" w:rsidP="00470E66">
      <w:pPr>
        <w:pStyle w:val="a"/>
        <w:spacing w:before="120" w:after="0" w:line="276" w:lineRule="auto"/>
        <w:jc w:val="both"/>
        <w:rPr>
          <w:b/>
          <w:bCs/>
        </w:rPr>
      </w:pPr>
      <w:r>
        <w:rPr>
          <w:b/>
          <w:bCs/>
        </w:rPr>
        <w:t xml:space="preserve">ИТ услугите: големият победител в условията на пандемия </w:t>
      </w:r>
    </w:p>
    <w:p w:rsidR="00A43980" w:rsidRDefault="00B67376" w:rsidP="00470E66">
      <w:pPr>
        <w:pStyle w:val="a"/>
        <w:spacing w:before="120" w:after="0" w:line="276" w:lineRule="auto"/>
        <w:jc w:val="both"/>
      </w:pPr>
      <w:r>
        <w:t>Секторът на далекосъобщителните, компютърните и информационните услуги e големият печеливш с ръст от 35% сред услугите през последните две години н</w:t>
      </w:r>
      <w:r>
        <w:t>а пандемия (при общ спад на услугите с 27%)53. Той увеличава относителната си тежест спрямо приходите от всички услуги от 10% през 2011  г. до 24% през 2021  г. и се оценява на около 2,2 млрд. евро приходи на година. Износът на далекосъобщителни, компютърн</w:t>
      </w:r>
      <w:r>
        <w:t>и и информационни услуги расте интегрирано (международен хостинг, центрове за данни и изкуствен интелект и обслужване на клиенти през различни канали – електронна поща, чат и глас) и увеличава значението си, измерено като дял на износа на ИТ услуги към цел</w:t>
      </w:r>
      <w:r>
        <w:t>ия износ на физически продукти с над 18% за двете години от началото на пандемията. По-голямото външно търсене на информационните услуги издърпва други пазари и ниши  – през трудова миграция от запад на изток и от север на юг в Европа, строителство на висо</w:t>
      </w:r>
      <w:r>
        <w:t xml:space="preserve">ки класове бизнес сгради и развитие на жилищния пазар до развитие на динамични компетентности в местния консултантски пазар (най-вече в областта на гъвкавото управление и управлението на човешките ресурси) и в сферата на образованието. </w:t>
      </w:r>
    </w:p>
    <w:p w:rsidR="00A43980" w:rsidRDefault="00B67376" w:rsidP="00470E66">
      <w:pPr>
        <w:pStyle w:val="a"/>
        <w:spacing w:before="120" w:after="0" w:line="276" w:lineRule="auto"/>
        <w:jc w:val="both"/>
      </w:pPr>
      <w:r>
        <w:t>Вертикалите на изна</w:t>
      </w:r>
      <w:r>
        <w:t>сяне на бизнес процеси по обслужване на клиенти (вътрешни и външни) и софтуер като телекомуникации, електроника, информационни услуги се развиват балансирано, с увеличаваща се добавена стойност. Наблюдават се различна динамика и ефект на пандемията. Компан</w:t>
      </w:r>
      <w:r>
        <w:t>ии като Сайтел реализираха сериозен ръст от над 20% в заетостта през 2021 г., други бяха с по-скромен ръст като Колпойнт Ню Юръп със 7%, докато Теленор има малък спад от 2-3%52. Ръстът в износа на редица ИТ хардуерни фирми също доведе до разширяване на про</w:t>
      </w:r>
      <w:r>
        <w:t xml:space="preserve">изводствени мощности и диверсификация на продуктите и влизането в нови вертикали. Един пример, заслужаващ проследяване, е ЕГТ България, които затвориха производствения цикъл в производството на гейминг автомати, софтуер за управление и платформи за онлайн </w:t>
      </w:r>
      <w:r>
        <w:t xml:space="preserve">залагания и позиционираха фирмата като един от най-големите играчи в този пазар на международно равнище. </w:t>
      </w:r>
    </w:p>
    <w:p w:rsidR="00A43980" w:rsidRDefault="00A43980" w:rsidP="00470E66">
      <w:pPr>
        <w:pStyle w:val="a"/>
        <w:spacing w:before="120" w:after="0" w:line="276" w:lineRule="auto"/>
        <w:jc w:val="both"/>
      </w:pPr>
    </w:p>
    <w:p w:rsidR="00A43980" w:rsidRDefault="00B67376" w:rsidP="00470E66">
      <w:pPr>
        <w:pStyle w:val="a"/>
        <w:spacing w:before="120" w:after="0" w:line="276" w:lineRule="auto"/>
        <w:jc w:val="both"/>
      </w:pPr>
      <w:r>
        <w:rPr>
          <w:noProof/>
          <w:lang w:eastAsia="bg-BG"/>
        </w:rPr>
        <w:lastRenderedPageBreak/>
        <w:drawing>
          <wp:inline distT="0" distB="0" distL="0" distR="0">
            <wp:extent cx="5052059" cy="2514600"/>
            <wp:effectExtent l="0" t="0" r="0" b="0"/>
            <wp:docPr id="6" name="Картина 1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5052059" cy="2514600"/>
                    </a:xfrm>
                    <a:prstGeom prst="rect">
                      <a:avLst/>
                    </a:prstGeom>
                    <a:noFill/>
                    <a:ln>
                      <a:noFill/>
                      <a:prstDash/>
                    </a:ln>
                  </pic:spPr>
                </pic:pic>
              </a:graphicData>
            </a:graphic>
          </wp:inline>
        </w:drawing>
      </w:r>
    </w:p>
    <w:p w:rsidR="00A43980" w:rsidRDefault="00A43980" w:rsidP="00470E66">
      <w:pPr>
        <w:pStyle w:val="a"/>
        <w:spacing w:before="120" w:after="0" w:line="276" w:lineRule="auto"/>
        <w:jc w:val="both"/>
      </w:pPr>
    </w:p>
    <w:p w:rsidR="00A43980" w:rsidRDefault="00B67376" w:rsidP="00470E66">
      <w:pPr>
        <w:pStyle w:val="a"/>
        <w:spacing w:before="120" w:after="0" w:line="276" w:lineRule="auto"/>
        <w:jc w:val="both"/>
        <w:rPr>
          <w:b/>
          <w:bCs/>
        </w:rPr>
      </w:pPr>
      <w:r>
        <w:rPr>
          <w:b/>
          <w:bCs/>
        </w:rPr>
        <w:t>Изкуственият интелект като услуга</w:t>
      </w:r>
    </w:p>
    <w:p w:rsidR="00A43980" w:rsidRDefault="00B67376" w:rsidP="00470E66">
      <w:pPr>
        <w:pStyle w:val="a"/>
        <w:spacing w:before="120" w:after="0" w:line="276" w:lineRule="auto"/>
        <w:jc w:val="both"/>
      </w:pPr>
      <w:r>
        <w:t xml:space="preserve"> Един от най-интересните показатели, който дава ранни сигнали за бързо подобрение, е делът предприятия, които </w:t>
      </w:r>
      <w:r>
        <w:t>използват технологии с вграден изкуствен интелект. България заема 8-о място по този показател с малко над 31% (при средно 25% за страните от Европейския съюз) от нефинансовите фирми с над 10 души средна заетост на година, използващи поне 2 технологии с изк</w:t>
      </w:r>
      <w:r>
        <w:t>уствен интелект. Подобен сигнал за добро развитие имаше преди седем години (2014 г.), когато България беше първа в използването на RFID-технологиите за идентификация на продуктите59. Фирмите, които се интегрираха тогава в комплексните вериги за добавяне на</w:t>
      </w:r>
      <w:r>
        <w:t xml:space="preserve"> стойност, използваха RFID по задължение. Дори нискотехнологични производства, предназначени за износ, дигитализираха бързо бизнес процесите си. На пръв поглед изкуственият интелект е много сложен, изисква високоспециализирана подготовка и затова за мнозин</w:t>
      </w:r>
      <w:r>
        <w:t xml:space="preserve">а тези високи стойности, които се наблюдават за България, са изненада или дори вдъхват недоверие в данните. Факт е обаче, че в днешно време изкуственият интелект се появява на разположение за малките и средните предприятия като услуга. Така както МСП биха </w:t>
      </w:r>
      <w:r>
        <w:t>могли да си направят електронен магазин или дори приложение за мобилен телефон много по-бързо и лесно в сравнение с преди 10 или 20 години, така и изкуствения интелект е вграден в други технологии, лесни за използване от масовия потребител. В този смисъл и</w:t>
      </w:r>
      <w:r>
        <w:t>зкуственият интелект е вече обща технология, а не специална и влиза вграден в много други технологии (уеб, мобилни приложения, CRM, ERP и др.).</w:t>
      </w:r>
    </w:p>
    <w:p w:rsidR="00A43980" w:rsidRDefault="00B67376" w:rsidP="00470E66">
      <w:pPr>
        <w:pStyle w:val="a"/>
        <w:spacing w:before="120" w:after="0" w:line="276" w:lineRule="auto"/>
        <w:jc w:val="both"/>
      </w:pPr>
      <w:r>
        <w:t xml:space="preserve">По подобен начин в момента българските предприятия, които са интегрирани в международните вериги за добавяне на </w:t>
      </w:r>
      <w:r>
        <w:t>стойност, нямат друг избор освен да оптимизират и автоматизират бизнес процесите си не просто</w:t>
      </w:r>
      <w:r>
        <w:rPr>
          <w:rStyle w:val="a0"/>
          <w:b/>
          <w:bCs/>
          <w:szCs w:val="24"/>
          <w:lang w:val="en-US"/>
        </w:rPr>
        <w:t xml:space="preserve"> </w:t>
      </w:r>
      <w:r>
        <w:t>заедно с партньорите си, а дори изпреварващо. По тези показатели България надминава средноевропейските равнища, включително защото част от европейското производст</w:t>
      </w:r>
      <w:r>
        <w:t xml:space="preserve">во се премести в страната  – автомобилна електроника и други свързани авточасти, вагони, подемни машини, бяла </w:t>
      </w:r>
      <w:r>
        <w:lastRenderedPageBreak/>
        <w:t xml:space="preserve">техника. Автоматизацията на бизнес процеси с вграден изкуствен интелект у нас (20%) е почти два пъти по-често срещана от средноевропейската норма </w:t>
      </w:r>
      <w:r>
        <w:t>(12%).</w:t>
      </w:r>
    </w:p>
    <w:p w:rsidR="00A43980" w:rsidRDefault="00B67376" w:rsidP="00470E66">
      <w:pPr>
        <w:pStyle w:val="a"/>
        <w:spacing w:before="120" w:after="0" w:line="276" w:lineRule="auto"/>
        <w:jc w:val="both"/>
      </w:pPr>
      <w:r>
        <w:rPr>
          <w:noProof/>
          <w:lang w:eastAsia="bg-BG"/>
        </w:rPr>
        <w:drawing>
          <wp:inline distT="0" distB="0" distL="0" distR="0">
            <wp:extent cx="5082536" cy="2438403"/>
            <wp:effectExtent l="0" t="0" r="3814" b="0"/>
            <wp:docPr id="7" name="Картина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5082536" cy="2438403"/>
                    </a:xfrm>
                    <a:prstGeom prst="rect">
                      <a:avLst/>
                    </a:prstGeom>
                    <a:noFill/>
                    <a:ln>
                      <a:noFill/>
                      <a:prstDash/>
                    </a:ln>
                  </pic:spPr>
                </pic:pic>
              </a:graphicData>
            </a:graphic>
          </wp:inline>
        </w:drawing>
      </w:r>
    </w:p>
    <w:p w:rsidR="00A43980" w:rsidRDefault="00A43980" w:rsidP="00470E66">
      <w:pPr>
        <w:pStyle w:val="a"/>
        <w:spacing w:before="120" w:after="0" w:line="276" w:lineRule="auto"/>
        <w:jc w:val="both"/>
        <w:rPr>
          <w:b/>
          <w:bCs/>
          <w:szCs w:val="24"/>
        </w:rPr>
      </w:pPr>
    </w:p>
    <w:p w:rsidR="00A43980" w:rsidRDefault="00A43980" w:rsidP="00470E66">
      <w:pPr>
        <w:pStyle w:val="a"/>
        <w:spacing w:before="120" w:after="0" w:line="276" w:lineRule="auto"/>
        <w:jc w:val="both"/>
        <w:rPr>
          <w:szCs w:val="24"/>
        </w:rPr>
      </w:pPr>
    </w:p>
    <w:p w:rsidR="00A43980" w:rsidRDefault="00A43980" w:rsidP="00470E66">
      <w:pPr>
        <w:pStyle w:val="a"/>
        <w:spacing w:before="120" w:after="0" w:line="276" w:lineRule="auto"/>
      </w:pPr>
    </w:p>
    <w:sectPr w:rsidR="00A43980" w:rsidSect="007115A4">
      <w:pgSz w:w="12240" w:h="15840"/>
      <w:pgMar w:top="1276" w:right="1440" w:bottom="1440" w:left="144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7376" w:rsidRDefault="00B67376">
      <w:pPr>
        <w:spacing w:after="0" w:line="240" w:lineRule="auto"/>
      </w:pPr>
      <w:r>
        <w:separator/>
      </w:r>
    </w:p>
  </w:endnote>
  <w:endnote w:type="continuationSeparator" w:id="0">
    <w:p w:rsidR="00B67376" w:rsidRDefault="00B673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7376" w:rsidRDefault="00B67376">
      <w:pPr>
        <w:spacing w:after="0" w:line="240" w:lineRule="auto"/>
      </w:pPr>
      <w:r>
        <w:rPr>
          <w:color w:val="000000"/>
        </w:rPr>
        <w:separator/>
      </w:r>
    </w:p>
  </w:footnote>
  <w:footnote w:type="continuationSeparator" w:id="0">
    <w:p w:rsidR="00B67376" w:rsidRDefault="00B6737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
  <w:rsids>
    <w:rsidRoot w:val="00A43980"/>
    <w:rsid w:val="001E3A50"/>
    <w:rsid w:val="00470E66"/>
    <w:rsid w:val="007115A4"/>
    <w:rsid w:val="00A43980"/>
    <w:rsid w:val="00B67376"/>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D56147"/>
  <w15:docId w15:val="{6FF69908-E478-491C-921C-1B08641DAF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sz w:val="22"/>
        <w:szCs w:val="22"/>
        <w:lang w:val="en-US"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
    <w:name w:val="Нормален"/>
    <w:pPr>
      <w:suppressAutoHyphens/>
    </w:pPr>
    <w:rPr>
      <w:rFonts w:ascii="Times New Roman" w:hAnsi="Times New Roman"/>
      <w:sz w:val="24"/>
      <w:lang w:val="bg-BG"/>
    </w:rPr>
  </w:style>
  <w:style w:type="character" w:customStyle="1" w:styleId="a0">
    <w:name w:val="Шрифт на абзаца по подразбиране"/>
  </w:style>
  <w:style w:type="character" w:customStyle="1" w:styleId="a1">
    <w:name w:val="Хипервръзка"/>
    <w:basedOn w:val="a0"/>
    <w:rPr>
      <w:color w:val="0563C1"/>
      <w:u w:val="single"/>
    </w:rPr>
  </w:style>
  <w:style w:type="paragraph" w:customStyle="1" w:styleId="a2">
    <w:name w:val="Списък на абзаци"/>
    <w:basedOn w:val="a"/>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3" Type="http://schemas.openxmlformats.org/officeDocument/2006/relationships/webSettings" Target="web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www.arcfund.net/arcartShowbg.php?id=18531" TargetMode="External"/><Relationship Id="rId11" Type="http://schemas.openxmlformats.org/officeDocument/2006/relationships/image" Target="media/image5.em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footnotes" Target="footnotes.xml"/><Relationship Id="rId9" Type="http://schemas.openxmlformats.org/officeDocument/2006/relationships/image" Target="media/image3.emf"/><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11</Pages>
  <Words>2445</Words>
  <Characters>13943</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MTITC</Company>
  <LinksUpToDate>false</LinksUpToDate>
  <CharactersWithSpaces>16356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Anelia</dc:creator>
  <dc:description/>
  <cp:lastModifiedBy>Nelly Stoyanova</cp:lastModifiedBy>
  <cp:revision>2</cp:revision>
  <dcterms:created xsi:type="dcterms:W3CDTF">2022-01-05T07:45:00Z</dcterms:created>
  <dcterms:modified xsi:type="dcterms:W3CDTF">2022-01-05T07:45:00Z</dcterms:modified>
</cp:coreProperties>
</file>