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280" w:rsidRPr="00070213" w:rsidRDefault="00040AD5" w:rsidP="00F92094">
      <w:pPr>
        <w:jc w:val="center"/>
        <w:rPr>
          <w:b/>
          <w:sz w:val="22"/>
          <w:szCs w:val="22"/>
          <w:lang w:val="bg-BG"/>
        </w:rPr>
      </w:pPr>
      <w:bookmarkStart w:id="0" w:name="_GoBack"/>
      <w:bookmarkEnd w:id="0"/>
      <w:r w:rsidRPr="00070213">
        <w:rPr>
          <w:b/>
          <w:sz w:val="22"/>
          <w:szCs w:val="22"/>
          <w:lang w:val="bg-BG"/>
        </w:rPr>
        <w:t>Т</w:t>
      </w:r>
      <w:r w:rsidR="00020280" w:rsidRPr="00070213">
        <w:rPr>
          <w:b/>
          <w:sz w:val="22"/>
          <w:szCs w:val="22"/>
          <w:lang w:val="bg-BG"/>
        </w:rPr>
        <w:t>АБЛИЦА</w:t>
      </w:r>
    </w:p>
    <w:p w:rsidR="00020280" w:rsidRPr="00070213" w:rsidRDefault="00020280" w:rsidP="00F92094">
      <w:pPr>
        <w:jc w:val="center"/>
        <w:rPr>
          <w:sz w:val="22"/>
          <w:szCs w:val="22"/>
          <w:lang w:val="bg-BG"/>
        </w:rPr>
      </w:pPr>
    </w:p>
    <w:p w:rsidR="003B063A" w:rsidRPr="00070213" w:rsidRDefault="00020280" w:rsidP="00F92094">
      <w:pPr>
        <w:jc w:val="center"/>
        <w:rPr>
          <w:sz w:val="22"/>
          <w:szCs w:val="22"/>
          <w:lang w:val="bg-BG"/>
        </w:rPr>
      </w:pPr>
      <w:r w:rsidRPr="00070213">
        <w:rPr>
          <w:sz w:val="22"/>
          <w:szCs w:val="22"/>
          <w:lang w:val="bg-BG"/>
        </w:rPr>
        <w:t xml:space="preserve">с постъпилите </w:t>
      </w:r>
      <w:r w:rsidR="00040AD5" w:rsidRPr="00070213">
        <w:rPr>
          <w:sz w:val="22"/>
          <w:szCs w:val="22"/>
          <w:lang w:val="bg-BG"/>
        </w:rPr>
        <w:t xml:space="preserve">в Министерството на транспорта, информационните технологии и съобщенията </w:t>
      </w:r>
      <w:r w:rsidRPr="00070213">
        <w:rPr>
          <w:sz w:val="22"/>
          <w:szCs w:val="22"/>
          <w:lang w:val="bg-BG"/>
        </w:rPr>
        <w:t>становища</w:t>
      </w:r>
    </w:p>
    <w:p w:rsidR="00020280" w:rsidRPr="00070213" w:rsidRDefault="00020280" w:rsidP="00F92094">
      <w:pPr>
        <w:jc w:val="center"/>
        <w:rPr>
          <w:i/>
          <w:sz w:val="22"/>
          <w:szCs w:val="22"/>
          <w:lang w:val="bg-BG"/>
        </w:rPr>
      </w:pPr>
      <w:r w:rsidRPr="00070213">
        <w:rPr>
          <w:sz w:val="22"/>
          <w:szCs w:val="22"/>
          <w:lang w:val="bg-BG"/>
        </w:rPr>
        <w:t xml:space="preserve">по </w:t>
      </w:r>
      <w:r w:rsidRPr="00070213">
        <w:rPr>
          <w:i/>
          <w:sz w:val="22"/>
          <w:szCs w:val="22"/>
          <w:lang w:val="bg-BG"/>
        </w:rPr>
        <w:t xml:space="preserve">Проект на Наредба по </w:t>
      </w:r>
      <w:r w:rsidR="00585494" w:rsidRPr="00070213">
        <w:rPr>
          <w:i/>
          <w:sz w:val="22"/>
          <w:szCs w:val="22"/>
          <w:lang w:val="bg-BG"/>
        </w:rPr>
        <w:t>чл. 57, ал. 2 от Закона за електронните съобщителни мрежи и физическа инфраструктура</w:t>
      </w:r>
    </w:p>
    <w:p w:rsidR="00020280" w:rsidRPr="00070213" w:rsidRDefault="00020280" w:rsidP="00AC192C">
      <w:pPr>
        <w:jc w:val="both"/>
        <w:rPr>
          <w:sz w:val="22"/>
          <w:szCs w:val="22"/>
          <w:lang w:val="bg-BG"/>
        </w:rPr>
      </w:pPr>
    </w:p>
    <w:tbl>
      <w:tblPr>
        <w:tblW w:w="14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6105"/>
        <w:gridCol w:w="1544"/>
        <w:gridCol w:w="4382"/>
      </w:tblGrid>
      <w:tr w:rsidR="00020280" w:rsidRPr="00070213" w:rsidTr="00B35421">
        <w:tc>
          <w:tcPr>
            <w:tcW w:w="26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20280" w:rsidRPr="00BC2ED9" w:rsidRDefault="00020280" w:rsidP="00682F46">
            <w:pPr>
              <w:jc w:val="center"/>
              <w:rPr>
                <w:sz w:val="22"/>
                <w:szCs w:val="22"/>
                <w:lang w:val="bg-BG"/>
              </w:rPr>
            </w:pPr>
            <w:r w:rsidRPr="00070213">
              <w:rPr>
                <w:b/>
                <w:sz w:val="22"/>
                <w:szCs w:val="22"/>
                <w:lang w:val="bg-BG"/>
              </w:rPr>
              <w:t>Изготвил становището</w:t>
            </w:r>
          </w:p>
        </w:tc>
        <w:tc>
          <w:tcPr>
            <w:tcW w:w="6102" w:type="dxa"/>
            <w:tcBorders>
              <w:top w:val="single" w:sz="4" w:space="0" w:color="auto"/>
              <w:left w:val="single" w:sz="4" w:space="0" w:color="auto"/>
              <w:bottom w:val="single" w:sz="4" w:space="0" w:color="auto"/>
              <w:right w:val="single" w:sz="4" w:space="0" w:color="auto"/>
            </w:tcBorders>
            <w:shd w:val="clear" w:color="auto" w:fill="D9D9D9"/>
            <w:hideMark/>
          </w:tcPr>
          <w:p w:rsidR="00020280" w:rsidRPr="00BC2ED9" w:rsidRDefault="004B1FBF" w:rsidP="00682F46">
            <w:pPr>
              <w:jc w:val="center"/>
              <w:rPr>
                <w:sz w:val="22"/>
                <w:szCs w:val="22"/>
                <w:lang w:val="bg-BG"/>
              </w:rPr>
            </w:pPr>
            <w:r w:rsidRPr="00070213">
              <w:rPr>
                <w:b/>
                <w:sz w:val="22"/>
                <w:szCs w:val="22"/>
                <w:lang w:val="bg-BG"/>
              </w:rPr>
              <w:t>Становище</w:t>
            </w:r>
          </w:p>
        </w:tc>
        <w:tc>
          <w:tcPr>
            <w:tcW w:w="1543" w:type="dxa"/>
            <w:tcBorders>
              <w:top w:val="single" w:sz="4" w:space="0" w:color="auto"/>
              <w:left w:val="single" w:sz="4" w:space="0" w:color="auto"/>
              <w:bottom w:val="single" w:sz="4" w:space="0" w:color="auto"/>
              <w:right w:val="single" w:sz="4" w:space="0" w:color="auto"/>
            </w:tcBorders>
            <w:shd w:val="clear" w:color="auto" w:fill="D9D9D9"/>
            <w:hideMark/>
          </w:tcPr>
          <w:p w:rsidR="00020280" w:rsidRPr="00BC2ED9" w:rsidRDefault="00020280" w:rsidP="00682F46">
            <w:pPr>
              <w:ind w:right="-103"/>
              <w:jc w:val="center"/>
              <w:rPr>
                <w:sz w:val="22"/>
                <w:szCs w:val="22"/>
                <w:lang w:val="bg-BG"/>
              </w:rPr>
            </w:pPr>
            <w:r w:rsidRPr="00070213">
              <w:rPr>
                <w:b/>
                <w:sz w:val="22"/>
                <w:szCs w:val="22"/>
                <w:lang w:val="bg-BG"/>
              </w:rPr>
              <w:t>Приема се/Не се приема</w:t>
            </w:r>
          </w:p>
        </w:tc>
        <w:tc>
          <w:tcPr>
            <w:tcW w:w="4380" w:type="dxa"/>
            <w:tcBorders>
              <w:top w:val="single" w:sz="4" w:space="0" w:color="auto"/>
              <w:left w:val="single" w:sz="4" w:space="0" w:color="auto"/>
              <w:bottom w:val="single" w:sz="4" w:space="0" w:color="auto"/>
              <w:right w:val="single" w:sz="4" w:space="0" w:color="auto"/>
            </w:tcBorders>
            <w:shd w:val="clear" w:color="auto" w:fill="D9D9D9"/>
            <w:hideMark/>
          </w:tcPr>
          <w:p w:rsidR="00020280" w:rsidRPr="00BC2ED9" w:rsidRDefault="00020280" w:rsidP="00682F46">
            <w:pPr>
              <w:jc w:val="center"/>
              <w:rPr>
                <w:b/>
                <w:sz w:val="22"/>
                <w:szCs w:val="22"/>
                <w:lang w:val="bg-BG"/>
              </w:rPr>
            </w:pPr>
            <w:r w:rsidRPr="00070213">
              <w:rPr>
                <w:b/>
                <w:bCs/>
                <w:iCs/>
                <w:sz w:val="22"/>
                <w:szCs w:val="22"/>
                <w:lang w:val="bg-BG"/>
              </w:rPr>
              <w:t>Мотиви</w:t>
            </w:r>
          </w:p>
        </w:tc>
      </w:tr>
      <w:tr w:rsidR="00214A63" w:rsidRPr="00070213" w:rsidTr="00B35421">
        <w:tc>
          <w:tcPr>
            <w:tcW w:w="2610" w:type="dxa"/>
            <w:vMerge w:val="restart"/>
            <w:tcBorders>
              <w:top w:val="single" w:sz="4" w:space="0" w:color="auto"/>
              <w:left w:val="single" w:sz="4" w:space="0" w:color="auto"/>
              <w:right w:val="single" w:sz="4" w:space="0" w:color="auto"/>
            </w:tcBorders>
            <w:shd w:val="clear" w:color="auto" w:fill="D0CECE" w:themeFill="background2" w:themeFillShade="E6"/>
          </w:tcPr>
          <w:p w:rsidR="00214A63" w:rsidRPr="00BC2ED9" w:rsidRDefault="00585494" w:rsidP="00AC192C">
            <w:pPr>
              <w:jc w:val="both"/>
              <w:rPr>
                <w:b/>
                <w:sz w:val="22"/>
                <w:szCs w:val="22"/>
                <w:lang w:val="bg-BG"/>
              </w:rPr>
            </w:pPr>
            <w:r w:rsidRPr="00070213">
              <w:rPr>
                <w:b/>
                <w:sz w:val="22"/>
                <w:szCs w:val="22"/>
                <w:lang w:val="bg-BG"/>
              </w:rPr>
              <w:t xml:space="preserve">Федерация на научно - техническите съюзи Съюз на геодезистите и земеустроителите в България </w:t>
            </w: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p w:rsidR="00214A63" w:rsidRPr="00BC2ED9" w:rsidRDefault="00214A63" w:rsidP="00AC192C">
            <w:pPr>
              <w:jc w:val="both"/>
              <w:rPr>
                <w:b/>
                <w:sz w:val="22"/>
                <w:szCs w:val="22"/>
                <w:lang w:val="bg-BG"/>
              </w:rPr>
            </w:pPr>
          </w:p>
        </w:tc>
        <w:tc>
          <w:tcPr>
            <w:tcW w:w="6102" w:type="dxa"/>
            <w:tcBorders>
              <w:top w:val="single" w:sz="4" w:space="0" w:color="auto"/>
              <w:left w:val="single" w:sz="4" w:space="0" w:color="auto"/>
              <w:bottom w:val="single" w:sz="4" w:space="0" w:color="auto"/>
              <w:right w:val="single" w:sz="4" w:space="0" w:color="auto"/>
            </w:tcBorders>
          </w:tcPr>
          <w:p w:rsidR="00214A63" w:rsidRPr="000C225E" w:rsidRDefault="00B04306" w:rsidP="00AC192C">
            <w:pPr>
              <w:pStyle w:val="a0"/>
              <w:spacing w:before="0" w:after="0" w:line="240" w:lineRule="auto"/>
              <w:ind w:left="20" w:right="40"/>
              <w:rPr>
                <w:rFonts w:ascii="Times New Roman" w:hAnsi="Times New Roman" w:cs="Times New Roman"/>
                <w:sz w:val="22"/>
                <w:szCs w:val="22"/>
              </w:rPr>
            </w:pPr>
            <w:r w:rsidRPr="00070213">
              <w:rPr>
                <w:rFonts w:ascii="Times New Roman" w:hAnsi="Times New Roman" w:cs="Times New Roman"/>
                <w:sz w:val="22"/>
                <w:szCs w:val="22"/>
              </w:rPr>
              <w:lastRenderedPageBreak/>
              <w:t xml:space="preserve">1. В чл. 1 не се посочва по силата на кои текстове от основни закони се създава предлаганата наредба (чл. 57, ал. 2 от ЗЕСМФИ и чл. 32 (3) на Закона за кадастъра и имотния регистър - ЗКИР), както и кои са основните държавни администрации, отговорни за създаването и прилагането на наредбата – МТИТС и Министерството на регионалното развитие и благоустройството (МРРБ). В мотивите към проекта за наредба се казва, че съгласно </w:t>
            </w:r>
            <w:r w:rsidR="00BF0C87" w:rsidRPr="00070213">
              <w:rPr>
                <w:rFonts w:ascii="Times New Roman" w:hAnsi="Times New Roman" w:cs="Times New Roman"/>
                <w:sz w:val="22"/>
                <w:szCs w:val="22"/>
              </w:rPr>
              <w:t>изискването</w:t>
            </w:r>
            <w:r w:rsidRPr="00394C5D">
              <w:rPr>
                <w:rFonts w:ascii="Times New Roman" w:hAnsi="Times New Roman" w:cs="Times New Roman"/>
                <w:sz w:val="22"/>
                <w:szCs w:val="22"/>
              </w:rPr>
              <w:t xml:space="preserve"> на чл. 57, ал. 2 от ЗЕСМФИ приемането на наредбата трябва да стане от министъра на транспорта, информационните технологии и съобщенията и министъра на регионалното развитие и благоустройството. От публикуваните материали в Портала за обществени консултации (http://www.strategy.bg/PublicConsultations/View.aspx?lang=bg-BG&amp;Id=4455) </w:t>
            </w:r>
            <w:r w:rsidRPr="001455CC">
              <w:rPr>
                <w:rFonts w:ascii="Times New Roman" w:hAnsi="Times New Roman" w:cs="Times New Roman"/>
                <w:sz w:val="22"/>
                <w:szCs w:val="22"/>
              </w:rPr>
              <w:t>не става ясно дали представители на МРРБ са взели участие в подготовката на наредбата, а и не е публикувано становище на МРРБ. Това за нас демонстрира степента на заинтересованост и ангажираност на двете министерства, отговорни по ЗЕСМФИ и ЗКИР към темата на наредбата и реалното изпълнение на дейностите, предвидени в нея!</w:t>
            </w:r>
          </w:p>
        </w:tc>
        <w:tc>
          <w:tcPr>
            <w:tcW w:w="1543" w:type="dxa"/>
            <w:tcBorders>
              <w:top w:val="single" w:sz="4" w:space="0" w:color="auto"/>
              <w:left w:val="single" w:sz="4" w:space="0" w:color="auto"/>
              <w:bottom w:val="single" w:sz="4" w:space="0" w:color="auto"/>
              <w:right w:val="single" w:sz="4" w:space="0" w:color="auto"/>
            </w:tcBorders>
          </w:tcPr>
          <w:p w:rsidR="004A3662" w:rsidRPr="00BC2ED9" w:rsidRDefault="00AF51D4" w:rsidP="00450745">
            <w:pPr>
              <w:ind w:right="-102"/>
              <w:jc w:val="center"/>
              <w:rPr>
                <w:sz w:val="22"/>
                <w:szCs w:val="22"/>
                <w:lang w:val="bg-BG"/>
              </w:rPr>
            </w:pPr>
            <w:r w:rsidRPr="000C225E">
              <w:rPr>
                <w:sz w:val="22"/>
                <w:szCs w:val="22"/>
                <w:lang w:val="bg-BG"/>
              </w:rPr>
              <w:t>Не се приема</w:t>
            </w:r>
          </w:p>
        </w:tc>
        <w:tc>
          <w:tcPr>
            <w:tcW w:w="4380" w:type="dxa"/>
            <w:tcBorders>
              <w:top w:val="single" w:sz="4" w:space="0" w:color="auto"/>
              <w:left w:val="single" w:sz="4" w:space="0" w:color="auto"/>
              <w:bottom w:val="single" w:sz="4" w:space="0" w:color="auto"/>
              <w:right w:val="single" w:sz="4" w:space="0" w:color="auto"/>
            </w:tcBorders>
          </w:tcPr>
          <w:p w:rsidR="00BA1FF1" w:rsidRPr="00BC2ED9" w:rsidRDefault="00AF51D4" w:rsidP="00E96E47">
            <w:pPr>
              <w:pStyle w:val="NormalWeb"/>
              <w:spacing w:before="0" w:beforeAutospacing="0" w:after="0" w:afterAutospacing="0"/>
              <w:jc w:val="both"/>
              <w:rPr>
                <w:sz w:val="22"/>
                <w:szCs w:val="22"/>
              </w:rPr>
            </w:pPr>
            <w:r w:rsidRPr="00070213">
              <w:rPr>
                <w:sz w:val="22"/>
                <w:szCs w:val="22"/>
              </w:rPr>
              <w:t xml:space="preserve">Съгласно чл. 43 от УКАЗ № 883 от 24.04.1974 г. за прилагане на Закона за нормативните актове „В заключителните разпоредби на акта по прилагане на закона се посочва разпоредбата на закона, въз основа на който е издаден“. В изпълнение на правните норми, установени за редактирането на нормативните актове, в § 7 от проекта е посочено, че „наредбата </w:t>
            </w:r>
            <w:r w:rsidRPr="00070213">
              <w:rPr>
                <w:color w:val="000000"/>
                <w:sz w:val="22"/>
                <w:szCs w:val="22"/>
              </w:rPr>
              <w:t>се издава на основание</w:t>
            </w:r>
            <w:r w:rsidRPr="00394C5D">
              <w:rPr>
                <w:rFonts w:eastAsia="Calibri"/>
                <w:sz w:val="22"/>
                <w:szCs w:val="22"/>
                <w:lang w:eastAsia="en-US"/>
              </w:rPr>
              <w:t xml:space="preserve"> чл. 57, ал. 2 от Закона </w:t>
            </w:r>
            <w:r w:rsidRPr="00394C5D">
              <w:rPr>
                <w:color w:val="000000"/>
                <w:sz w:val="22"/>
                <w:szCs w:val="22"/>
              </w:rPr>
              <w:t>за електронните съобщителни мрежи и ф</w:t>
            </w:r>
            <w:r w:rsidRPr="001455CC">
              <w:rPr>
                <w:color w:val="000000"/>
                <w:sz w:val="22"/>
                <w:szCs w:val="22"/>
              </w:rPr>
              <w:t>изическа инфраструктура“. Това е специалната законодателна делегация за издаването на акта.</w:t>
            </w:r>
            <w:r w:rsidR="006542A3" w:rsidRPr="00BC2ED9">
              <w:rPr>
                <w:sz w:val="22"/>
                <w:szCs w:val="22"/>
              </w:rPr>
              <w:t xml:space="preserve"> </w:t>
            </w:r>
          </w:p>
          <w:p w:rsidR="004A3662" w:rsidRPr="00BC2ED9" w:rsidRDefault="00AF51D4" w:rsidP="00E96E47">
            <w:pPr>
              <w:pStyle w:val="NormalWeb"/>
              <w:spacing w:before="0" w:beforeAutospacing="0" w:after="0" w:afterAutospacing="0"/>
              <w:jc w:val="both"/>
              <w:rPr>
                <w:sz w:val="22"/>
                <w:szCs w:val="22"/>
              </w:rPr>
            </w:pPr>
            <w:r w:rsidRPr="00070213">
              <w:rPr>
                <w:color w:val="000000"/>
                <w:sz w:val="22"/>
                <w:szCs w:val="22"/>
              </w:rPr>
              <w:t xml:space="preserve">Проектът на наредба, действително, е създаден от работна група с участието на представители на МРРБ и МТИТС. Това обаче е организационен въпрос, който не е предмет на обсъждането. </w:t>
            </w:r>
            <w:r w:rsidR="00C51355" w:rsidRPr="00070213">
              <w:rPr>
                <w:color w:val="000000"/>
                <w:sz w:val="22"/>
                <w:szCs w:val="22"/>
              </w:rPr>
              <w:t>Участието на представители на заинтересованите ведомства е обичайна практика на работа на администрация, която, освен това, не налага представянето на „становище на МРРБ“ в хода на работата, което да бъде публикувано.</w:t>
            </w:r>
            <w:r w:rsidRPr="00070213">
              <w:rPr>
                <w:sz w:val="22"/>
                <w:szCs w:val="22"/>
              </w:rPr>
              <w:t xml:space="preserve"> </w:t>
            </w:r>
          </w:p>
        </w:tc>
      </w:tr>
      <w:tr w:rsidR="00624CBE" w:rsidRPr="00070213" w:rsidTr="00B35421">
        <w:tc>
          <w:tcPr>
            <w:tcW w:w="2610" w:type="dxa"/>
            <w:vMerge/>
            <w:tcBorders>
              <w:top w:val="single" w:sz="4" w:space="0" w:color="auto"/>
              <w:left w:val="single" w:sz="4" w:space="0" w:color="auto"/>
              <w:right w:val="single" w:sz="4" w:space="0" w:color="auto"/>
            </w:tcBorders>
            <w:shd w:val="clear" w:color="auto" w:fill="D0CECE" w:themeFill="background2" w:themeFillShade="E6"/>
          </w:tcPr>
          <w:p w:rsidR="00624CBE" w:rsidRPr="00BC2ED9" w:rsidRDefault="00624CBE" w:rsidP="00AC192C">
            <w:pPr>
              <w:jc w:val="both"/>
              <w:rPr>
                <w:b/>
                <w:sz w:val="22"/>
                <w:szCs w:val="22"/>
                <w:lang w:val="bg-BG"/>
              </w:rPr>
            </w:pPr>
          </w:p>
        </w:tc>
        <w:tc>
          <w:tcPr>
            <w:tcW w:w="6102" w:type="dxa"/>
            <w:tcBorders>
              <w:top w:val="single" w:sz="4" w:space="0" w:color="auto"/>
              <w:left w:val="single" w:sz="4" w:space="0" w:color="auto"/>
              <w:bottom w:val="single" w:sz="4" w:space="0" w:color="auto"/>
              <w:right w:val="single" w:sz="4" w:space="0" w:color="auto"/>
            </w:tcBorders>
          </w:tcPr>
          <w:p w:rsidR="00624CBE" w:rsidRPr="00070213" w:rsidRDefault="00A60032" w:rsidP="00AC192C">
            <w:pPr>
              <w:pStyle w:val="a0"/>
              <w:tabs>
                <w:tab w:val="left" w:pos="220"/>
              </w:tabs>
              <w:spacing w:before="0" w:after="0" w:line="240" w:lineRule="auto"/>
              <w:ind w:right="40"/>
              <w:rPr>
                <w:rFonts w:ascii="Times New Roman" w:hAnsi="Times New Roman" w:cs="Times New Roman"/>
                <w:b/>
                <w:sz w:val="22"/>
                <w:szCs w:val="22"/>
                <w:lang w:eastAsia="bg-BG"/>
              </w:rPr>
            </w:pPr>
            <w:r w:rsidRPr="00070213">
              <w:rPr>
                <w:rFonts w:ascii="Times New Roman" w:hAnsi="Times New Roman" w:cs="Times New Roman"/>
                <w:sz w:val="22"/>
                <w:szCs w:val="22"/>
              </w:rPr>
              <w:t xml:space="preserve">2. В чл. 1 (1) се цитира текст от чл. 57 (2) на ЗЕСМФИ, в който се говори за „…форматите за поддържане в електронен вид на специализирани карти и регистри…“. Думата „форматите“ </w:t>
            </w:r>
            <w:r w:rsidRPr="00070213">
              <w:rPr>
                <w:rFonts w:ascii="Times New Roman" w:hAnsi="Times New Roman" w:cs="Times New Roman"/>
                <w:sz w:val="22"/>
                <w:szCs w:val="22"/>
              </w:rPr>
              <w:lastRenderedPageBreak/>
              <w:t>предполага наличие и използване на повече от един формат за поддържане на специализираните карти и регистри в електронен вид, което противоречи на изискването на чл. 32 (2), който еднозначно определя „Специализираните карти, регистри и информационни системи се изработват и поддържат въз основа на данните от кадастъра и във формата на записа по чл. 12, т. 5“.</w:t>
            </w:r>
          </w:p>
        </w:tc>
        <w:tc>
          <w:tcPr>
            <w:tcW w:w="1543" w:type="dxa"/>
            <w:tcBorders>
              <w:top w:val="single" w:sz="4" w:space="0" w:color="auto"/>
              <w:left w:val="single" w:sz="4" w:space="0" w:color="auto"/>
              <w:bottom w:val="single" w:sz="4" w:space="0" w:color="auto"/>
              <w:right w:val="single" w:sz="4" w:space="0" w:color="auto"/>
            </w:tcBorders>
          </w:tcPr>
          <w:p w:rsidR="00624CBE" w:rsidRPr="00BC2ED9" w:rsidRDefault="00C51355" w:rsidP="00450745">
            <w:pPr>
              <w:ind w:right="-103"/>
              <w:jc w:val="center"/>
              <w:rPr>
                <w:sz w:val="22"/>
                <w:szCs w:val="22"/>
                <w:lang w:val="bg-BG"/>
              </w:rPr>
            </w:pPr>
            <w:r w:rsidRPr="00070213">
              <w:rPr>
                <w:sz w:val="22"/>
                <w:szCs w:val="22"/>
                <w:lang w:val="bg-BG"/>
              </w:rPr>
              <w:lastRenderedPageBreak/>
              <w:t>Не се приема</w:t>
            </w:r>
          </w:p>
        </w:tc>
        <w:tc>
          <w:tcPr>
            <w:tcW w:w="4380" w:type="dxa"/>
            <w:tcBorders>
              <w:top w:val="single" w:sz="4" w:space="0" w:color="auto"/>
              <w:left w:val="single" w:sz="4" w:space="0" w:color="auto"/>
              <w:bottom w:val="single" w:sz="4" w:space="0" w:color="auto"/>
              <w:right w:val="single" w:sz="4" w:space="0" w:color="auto"/>
            </w:tcBorders>
          </w:tcPr>
          <w:p w:rsidR="00963EF7" w:rsidRPr="00BC2ED9" w:rsidRDefault="00C51355" w:rsidP="00AC192C">
            <w:pPr>
              <w:pStyle w:val="NormalWeb"/>
              <w:spacing w:before="0" w:beforeAutospacing="0" w:after="0" w:afterAutospacing="0"/>
              <w:jc w:val="both"/>
              <w:rPr>
                <w:sz w:val="22"/>
                <w:szCs w:val="22"/>
              </w:rPr>
            </w:pPr>
            <w:r w:rsidRPr="00070213">
              <w:rPr>
                <w:sz w:val="22"/>
                <w:szCs w:val="22"/>
              </w:rPr>
              <w:t xml:space="preserve">Възпроизведен е текстът на специалната законова делегация на чл. 57, ал. 2, който използва „форматите за поддържане в </w:t>
            </w:r>
            <w:r w:rsidRPr="00070213">
              <w:rPr>
                <w:sz w:val="22"/>
                <w:szCs w:val="22"/>
              </w:rPr>
              <w:lastRenderedPageBreak/>
              <w:t xml:space="preserve">електронен вид“. Очевидно е, че законодателят е имал предвид техническата възможност за поддържане в повече от един формат и е поискал от изпълнителната власт да създаде подзаконов нормативен акт, в този смисъл. </w:t>
            </w:r>
          </w:p>
          <w:p w:rsidR="00C51355" w:rsidRPr="00BC2ED9" w:rsidRDefault="00C51355" w:rsidP="00AC192C">
            <w:pPr>
              <w:pStyle w:val="NormalWeb"/>
              <w:spacing w:before="0" w:beforeAutospacing="0" w:after="0" w:afterAutospacing="0"/>
              <w:jc w:val="both"/>
              <w:rPr>
                <w:sz w:val="22"/>
                <w:szCs w:val="22"/>
              </w:rPr>
            </w:pPr>
            <w:r w:rsidRPr="00070213">
              <w:rPr>
                <w:sz w:val="22"/>
                <w:szCs w:val="22"/>
              </w:rPr>
              <w:t xml:space="preserve">Съвременното ниво на информационните технологии е направило сравнително лесно за </w:t>
            </w:r>
            <w:r w:rsidR="001D50EB" w:rsidRPr="00070213">
              <w:rPr>
                <w:sz w:val="22"/>
                <w:szCs w:val="22"/>
              </w:rPr>
              <w:t>всеки</w:t>
            </w:r>
            <w:r w:rsidRPr="00394C5D">
              <w:rPr>
                <w:sz w:val="22"/>
                <w:szCs w:val="22"/>
              </w:rPr>
              <w:t xml:space="preserve"> специалист превръщането на дадена информация от един формат в друг.</w:t>
            </w:r>
          </w:p>
          <w:p w:rsidR="00C51355" w:rsidRPr="00BC2ED9" w:rsidRDefault="00C51355" w:rsidP="00AC192C">
            <w:pPr>
              <w:pStyle w:val="NormalWeb"/>
              <w:spacing w:before="0" w:beforeAutospacing="0" w:after="0" w:afterAutospacing="0"/>
              <w:jc w:val="both"/>
              <w:rPr>
                <w:sz w:val="22"/>
                <w:szCs w:val="22"/>
              </w:rPr>
            </w:pPr>
            <w:r w:rsidRPr="00070213">
              <w:rPr>
                <w:sz w:val="22"/>
                <w:szCs w:val="22"/>
              </w:rPr>
              <w:t xml:space="preserve">Така, макар картата да е създадена в един формат – този по </w:t>
            </w:r>
            <w:r w:rsidR="006542A3" w:rsidRPr="00070213">
              <w:rPr>
                <w:sz w:val="22"/>
                <w:szCs w:val="22"/>
              </w:rPr>
              <w:t>чл. 12, т. 5 от ЗКИР</w:t>
            </w:r>
            <w:r w:rsidRPr="00070213">
              <w:rPr>
                <w:sz w:val="22"/>
                <w:szCs w:val="22"/>
              </w:rPr>
              <w:t>, няма правна пречка, така, както позволява специалният закон, тя да се поддържа в един или повече формати.</w:t>
            </w:r>
          </w:p>
          <w:p w:rsidR="00C51355" w:rsidRPr="00BC2ED9" w:rsidRDefault="00C51355" w:rsidP="00AC192C">
            <w:pPr>
              <w:pStyle w:val="NormalWeb"/>
              <w:spacing w:before="0" w:beforeAutospacing="0" w:after="0" w:afterAutospacing="0"/>
              <w:jc w:val="both"/>
              <w:rPr>
                <w:sz w:val="22"/>
                <w:szCs w:val="22"/>
              </w:rPr>
            </w:pPr>
            <w:r w:rsidRPr="00070213">
              <w:rPr>
                <w:sz w:val="22"/>
                <w:szCs w:val="22"/>
              </w:rPr>
              <w:t>По този начин се изпълняват изискванията на двата закона, като, обръщаме внимание, че ЗЕСМФИ, като по-нов и специален в областта на този вид правни отношения, би имал предимство, ако евентуално има различни правила в двата закона, което считаме, че не е налице в настоящия случай.</w:t>
            </w:r>
          </w:p>
        </w:tc>
      </w:tr>
      <w:tr w:rsidR="00624CBE" w:rsidRPr="00070213" w:rsidTr="00B35421">
        <w:tc>
          <w:tcPr>
            <w:tcW w:w="2610" w:type="dxa"/>
            <w:vMerge/>
            <w:tcBorders>
              <w:top w:val="single" w:sz="4" w:space="0" w:color="auto"/>
              <w:left w:val="single" w:sz="4" w:space="0" w:color="auto"/>
              <w:right w:val="single" w:sz="4" w:space="0" w:color="auto"/>
            </w:tcBorders>
            <w:shd w:val="clear" w:color="auto" w:fill="D0CECE" w:themeFill="background2" w:themeFillShade="E6"/>
          </w:tcPr>
          <w:p w:rsidR="00624CBE" w:rsidRPr="00BC2ED9" w:rsidRDefault="00624CBE" w:rsidP="00AC192C">
            <w:pPr>
              <w:jc w:val="both"/>
              <w:rPr>
                <w:b/>
                <w:sz w:val="22"/>
                <w:szCs w:val="22"/>
                <w:lang w:val="bg-BG"/>
              </w:rPr>
            </w:pPr>
          </w:p>
        </w:tc>
        <w:tc>
          <w:tcPr>
            <w:tcW w:w="6102" w:type="dxa"/>
            <w:tcBorders>
              <w:top w:val="single" w:sz="4" w:space="0" w:color="auto"/>
              <w:left w:val="single" w:sz="4" w:space="0" w:color="auto"/>
              <w:bottom w:val="single" w:sz="4" w:space="0" w:color="auto"/>
              <w:right w:val="single" w:sz="4" w:space="0" w:color="auto"/>
            </w:tcBorders>
          </w:tcPr>
          <w:p w:rsidR="00624CBE" w:rsidRPr="00BC2ED9" w:rsidRDefault="001F69C5" w:rsidP="00AC192C">
            <w:pPr>
              <w:tabs>
                <w:tab w:val="left" w:pos="284"/>
                <w:tab w:val="left" w:pos="993"/>
                <w:tab w:val="left" w:pos="1134"/>
              </w:tabs>
              <w:jc w:val="both"/>
              <w:rPr>
                <w:b/>
                <w:sz w:val="22"/>
                <w:szCs w:val="22"/>
                <w:lang w:val="bg-BG" w:eastAsia="bg-BG"/>
              </w:rPr>
            </w:pPr>
            <w:r w:rsidRPr="00070213">
              <w:rPr>
                <w:sz w:val="22"/>
                <w:szCs w:val="22"/>
                <w:lang w:val="bg-BG"/>
              </w:rPr>
              <w:t>3. В чл.1 (1) се съдържа смислово необмислено повторение в текста „…на разположените от операторите на електронни съобщителни мрежи електронни съобщителни мрежи, съоръжения и свързаната с тях физическа инфраструктура.“, което вместо да внася подобрение и яснота е в унисон с объркания текст на чл.57 (1) на ЗЕСМФИ. Това не е съществена техническа забележка, но за нормативен документ е най-малкото неприемливо текста да не е добре структуриран.</w:t>
            </w:r>
          </w:p>
        </w:tc>
        <w:tc>
          <w:tcPr>
            <w:tcW w:w="1543" w:type="dxa"/>
            <w:tcBorders>
              <w:top w:val="single" w:sz="4" w:space="0" w:color="auto"/>
              <w:left w:val="single" w:sz="4" w:space="0" w:color="auto"/>
              <w:bottom w:val="single" w:sz="4" w:space="0" w:color="auto"/>
              <w:right w:val="single" w:sz="4" w:space="0" w:color="auto"/>
            </w:tcBorders>
          </w:tcPr>
          <w:p w:rsidR="00624CBE" w:rsidRPr="00BC2ED9" w:rsidRDefault="00FD0282" w:rsidP="00450745">
            <w:pPr>
              <w:ind w:right="-103"/>
              <w:jc w:val="center"/>
              <w:rPr>
                <w:sz w:val="22"/>
                <w:szCs w:val="22"/>
                <w:lang w:val="bg-BG"/>
              </w:rPr>
            </w:pPr>
            <w:r w:rsidRPr="00070213">
              <w:rPr>
                <w:sz w:val="22"/>
                <w:szCs w:val="22"/>
                <w:lang w:val="bg-BG"/>
              </w:rPr>
              <w:t>Приема се</w:t>
            </w:r>
          </w:p>
        </w:tc>
        <w:tc>
          <w:tcPr>
            <w:tcW w:w="4380" w:type="dxa"/>
            <w:tcBorders>
              <w:top w:val="single" w:sz="4" w:space="0" w:color="auto"/>
              <w:left w:val="single" w:sz="4" w:space="0" w:color="auto"/>
              <w:bottom w:val="single" w:sz="4" w:space="0" w:color="auto"/>
              <w:right w:val="single" w:sz="4" w:space="0" w:color="auto"/>
            </w:tcBorders>
          </w:tcPr>
          <w:p w:rsidR="00FD0282" w:rsidRPr="00070213" w:rsidRDefault="00FD0282" w:rsidP="00AC192C">
            <w:pPr>
              <w:pStyle w:val="NormalWeb"/>
              <w:spacing w:before="0" w:beforeAutospacing="0" w:after="0" w:afterAutospacing="0"/>
              <w:jc w:val="both"/>
              <w:rPr>
                <w:sz w:val="22"/>
                <w:szCs w:val="22"/>
              </w:rPr>
            </w:pPr>
            <w:r w:rsidRPr="00070213">
              <w:rPr>
                <w:sz w:val="22"/>
                <w:szCs w:val="22"/>
              </w:rPr>
              <w:t>Текстът придобива следната редакция:</w:t>
            </w:r>
          </w:p>
          <w:p w:rsidR="006542A3" w:rsidRPr="00BC2ED9" w:rsidRDefault="00FD0282" w:rsidP="00FD0282">
            <w:pPr>
              <w:pStyle w:val="NormalWeb"/>
              <w:spacing w:before="0" w:beforeAutospacing="0" w:after="0" w:afterAutospacing="0"/>
              <w:jc w:val="both"/>
              <w:rPr>
                <w:sz w:val="22"/>
                <w:szCs w:val="22"/>
              </w:rPr>
            </w:pPr>
            <w:r w:rsidRPr="00070213">
              <w:rPr>
                <w:color w:val="000000"/>
                <w:sz w:val="22"/>
                <w:szCs w:val="22"/>
              </w:rPr>
              <w:t xml:space="preserve">„Чл. 1. (1) С наредбата се определят съдържанието, условията и редът за създаване и поддържане на специализирани карти и регистри на разположените от операторите </w:t>
            </w:r>
            <w:r w:rsidRPr="00394C5D">
              <w:rPr>
                <w:color w:val="000000"/>
                <w:sz w:val="22"/>
                <w:szCs w:val="22"/>
              </w:rPr>
              <w:t>електронни съобщителни мрежи, съоръжения и свързаната с тях физическа инфраструктура, както и форматите на поддържане в електронен вид.“.</w:t>
            </w:r>
            <w:r w:rsidR="006542A3" w:rsidRPr="00394C5D">
              <w:rPr>
                <w:color w:val="FF0000"/>
                <w:sz w:val="22"/>
                <w:szCs w:val="22"/>
              </w:rPr>
              <w:t xml:space="preserve"> </w:t>
            </w:r>
          </w:p>
        </w:tc>
      </w:tr>
      <w:tr w:rsidR="00B4155D" w:rsidRPr="00070213" w:rsidTr="00B35421">
        <w:tc>
          <w:tcPr>
            <w:tcW w:w="2610" w:type="dxa"/>
            <w:vMerge/>
            <w:tcBorders>
              <w:top w:val="single" w:sz="4" w:space="0" w:color="auto"/>
              <w:left w:val="single" w:sz="4" w:space="0" w:color="auto"/>
              <w:right w:val="single" w:sz="4" w:space="0" w:color="auto"/>
            </w:tcBorders>
            <w:shd w:val="clear" w:color="auto" w:fill="D0CECE" w:themeFill="background2" w:themeFillShade="E6"/>
          </w:tcPr>
          <w:p w:rsidR="00B4155D" w:rsidRPr="00BC2ED9" w:rsidRDefault="00B4155D" w:rsidP="00AC192C">
            <w:pPr>
              <w:jc w:val="both"/>
              <w:rPr>
                <w:b/>
                <w:sz w:val="22"/>
                <w:szCs w:val="22"/>
                <w:lang w:val="bg-BG"/>
              </w:rPr>
            </w:pPr>
          </w:p>
        </w:tc>
        <w:tc>
          <w:tcPr>
            <w:tcW w:w="6102" w:type="dxa"/>
            <w:tcBorders>
              <w:top w:val="single" w:sz="4" w:space="0" w:color="auto"/>
              <w:left w:val="single" w:sz="4" w:space="0" w:color="auto"/>
              <w:bottom w:val="single" w:sz="4" w:space="0" w:color="auto"/>
              <w:right w:val="single" w:sz="4" w:space="0" w:color="auto"/>
            </w:tcBorders>
          </w:tcPr>
          <w:p w:rsidR="00B4155D" w:rsidRPr="000C225E" w:rsidRDefault="001F69C5" w:rsidP="00AC192C">
            <w:pPr>
              <w:pStyle w:val="a0"/>
              <w:tabs>
                <w:tab w:val="left" w:pos="220"/>
              </w:tabs>
              <w:spacing w:before="0" w:after="0" w:line="240" w:lineRule="auto"/>
              <w:ind w:left="20" w:right="40"/>
              <w:rPr>
                <w:rFonts w:ascii="Times New Roman" w:hAnsi="Times New Roman" w:cs="Times New Roman"/>
                <w:sz w:val="22"/>
                <w:szCs w:val="22"/>
                <w:lang w:eastAsia="bg-BG"/>
              </w:rPr>
            </w:pPr>
            <w:r w:rsidRPr="00070213">
              <w:rPr>
                <w:rFonts w:ascii="Times New Roman" w:hAnsi="Times New Roman" w:cs="Times New Roman"/>
                <w:sz w:val="22"/>
                <w:szCs w:val="22"/>
                <w:lang w:eastAsia="bg-BG"/>
              </w:rPr>
              <w:t xml:space="preserve">4. В чл. 3. (1) т. 2 текста „разположението на точката за достъп в сградата“ не се обвързва технически и смислово с основния текст на члена. Според нас в </w:t>
            </w:r>
            <w:r w:rsidR="00424249" w:rsidRPr="00394C5D">
              <w:rPr>
                <w:rFonts w:ascii="Times New Roman" w:hAnsi="Times New Roman" w:cs="Times New Roman"/>
                <w:sz w:val="22"/>
                <w:szCs w:val="22"/>
                <w:lang w:eastAsia="bg-BG"/>
              </w:rPr>
              <w:t>„</w:t>
            </w:r>
            <w:r w:rsidRPr="001455CC">
              <w:rPr>
                <w:rFonts w:ascii="Times New Roman" w:hAnsi="Times New Roman" w:cs="Times New Roman"/>
                <w:sz w:val="22"/>
                <w:szCs w:val="22"/>
                <w:lang w:eastAsia="bg-BG"/>
              </w:rPr>
              <w:t xml:space="preserve">а, което обезсмисля изричното </w:t>
            </w:r>
            <w:r w:rsidRPr="001455CC">
              <w:rPr>
                <w:rFonts w:ascii="Times New Roman" w:hAnsi="Times New Roman" w:cs="Times New Roman"/>
                <w:sz w:val="22"/>
                <w:szCs w:val="22"/>
                <w:lang w:eastAsia="bg-BG"/>
              </w:rPr>
              <w:lastRenderedPageBreak/>
              <w:t>им посочване в отделна точка на текста. Самите точки за достъп нямат дефинирани основни характеристики, различни от съобщителните мрежи, което също е в подкрепа на факта, че не е необходимо тяхното отделяне като елемент от общото пространствено описание на съобщителните мрежи.</w:t>
            </w:r>
          </w:p>
        </w:tc>
        <w:tc>
          <w:tcPr>
            <w:tcW w:w="1543" w:type="dxa"/>
            <w:tcBorders>
              <w:top w:val="single" w:sz="4" w:space="0" w:color="auto"/>
              <w:left w:val="single" w:sz="4" w:space="0" w:color="auto"/>
              <w:bottom w:val="single" w:sz="4" w:space="0" w:color="auto"/>
              <w:right w:val="single" w:sz="4" w:space="0" w:color="auto"/>
            </w:tcBorders>
          </w:tcPr>
          <w:p w:rsidR="00B4155D" w:rsidRPr="00BC2ED9" w:rsidRDefault="00DB6088" w:rsidP="00450745">
            <w:pPr>
              <w:ind w:right="-103"/>
              <w:jc w:val="center"/>
              <w:rPr>
                <w:sz w:val="22"/>
                <w:szCs w:val="22"/>
                <w:lang w:val="bg-BG"/>
              </w:rPr>
            </w:pPr>
            <w:r w:rsidRPr="00070213">
              <w:rPr>
                <w:sz w:val="22"/>
                <w:szCs w:val="22"/>
                <w:lang w:val="bg-BG"/>
              </w:rPr>
              <w:lastRenderedPageBreak/>
              <w:t>Не се приема</w:t>
            </w:r>
          </w:p>
        </w:tc>
        <w:tc>
          <w:tcPr>
            <w:tcW w:w="4380" w:type="dxa"/>
            <w:tcBorders>
              <w:top w:val="single" w:sz="4" w:space="0" w:color="auto"/>
              <w:left w:val="single" w:sz="4" w:space="0" w:color="auto"/>
              <w:bottom w:val="single" w:sz="4" w:space="0" w:color="auto"/>
              <w:right w:val="single" w:sz="4" w:space="0" w:color="auto"/>
            </w:tcBorders>
          </w:tcPr>
          <w:p w:rsidR="00B4155D" w:rsidRPr="00BC2ED9" w:rsidRDefault="00DB6088" w:rsidP="00AC192C">
            <w:pPr>
              <w:pStyle w:val="NormalWeb"/>
              <w:spacing w:before="0" w:beforeAutospacing="0" w:after="0" w:afterAutospacing="0"/>
              <w:jc w:val="both"/>
              <w:rPr>
                <w:sz w:val="22"/>
                <w:szCs w:val="22"/>
              </w:rPr>
            </w:pPr>
            <w:r w:rsidRPr="00070213">
              <w:rPr>
                <w:sz w:val="22"/>
                <w:szCs w:val="22"/>
              </w:rPr>
              <w:t>Първо, следва да се вземат предвид следните легални определения на ЗЕСМФИ:</w:t>
            </w:r>
          </w:p>
          <w:p w:rsidR="00DB6088" w:rsidRPr="00BC2ED9" w:rsidRDefault="00882699" w:rsidP="00AC192C">
            <w:pPr>
              <w:pStyle w:val="NormalWeb"/>
              <w:spacing w:before="0" w:beforeAutospacing="0" w:after="0" w:afterAutospacing="0"/>
              <w:jc w:val="both"/>
              <w:rPr>
                <w:sz w:val="22"/>
                <w:szCs w:val="22"/>
              </w:rPr>
            </w:pPr>
            <w:r w:rsidRPr="00070213">
              <w:rPr>
                <w:b/>
                <w:sz w:val="22"/>
                <w:szCs w:val="22"/>
              </w:rPr>
              <w:lastRenderedPageBreak/>
              <w:t>„</w:t>
            </w:r>
            <w:r w:rsidR="00424249" w:rsidRPr="00070213">
              <w:rPr>
                <w:b/>
                <w:sz w:val="22"/>
                <w:szCs w:val="22"/>
              </w:rPr>
              <w:t>Електронна съобщителна мрежа</w:t>
            </w:r>
            <w:r w:rsidRPr="00070213">
              <w:rPr>
                <w:b/>
                <w:sz w:val="22"/>
                <w:szCs w:val="22"/>
              </w:rPr>
              <w:t>“</w:t>
            </w:r>
            <w:r w:rsidR="00424249" w:rsidRPr="00070213">
              <w:rPr>
                <w:sz w:val="22"/>
                <w:szCs w:val="22"/>
              </w:rPr>
              <w:t xml:space="preserve"> е съвкупност от преносни съоръжения и при необходимост съоръжения за комутация и/или маршрутизация и други ресурси, включително неактивни мрежови елементи, които позволяват пренос на сигнали посредством проводник, радио, оптични или други електромагнитни способи, включително спътникови мрежи, фиксирани (с комутация на канали или с пакетна комутация, включително интернет) и мобилни наземни мрежи, електроразпределителни мрежи, доколкото се използват за пренос на сигнали, мрежи, използвани за радио- и телевиз</w:t>
            </w:r>
            <w:r w:rsidR="00424249" w:rsidRPr="00394C5D">
              <w:rPr>
                <w:sz w:val="22"/>
                <w:szCs w:val="22"/>
              </w:rPr>
              <w:t>ионно разпръскване, и кабелни електронни съобщителни мрежи за разпространение на радио- и телевизионни програми, независимо от вида на пренасяната информация“.</w:t>
            </w:r>
          </w:p>
          <w:p w:rsidR="00424249" w:rsidRPr="00BC2ED9" w:rsidRDefault="00882699" w:rsidP="00AC192C">
            <w:pPr>
              <w:pStyle w:val="NormalWeb"/>
              <w:spacing w:before="0" w:beforeAutospacing="0" w:after="0" w:afterAutospacing="0"/>
              <w:jc w:val="both"/>
              <w:rPr>
                <w:sz w:val="22"/>
                <w:szCs w:val="22"/>
              </w:rPr>
            </w:pPr>
            <w:r w:rsidRPr="00070213">
              <w:rPr>
                <w:b/>
                <w:sz w:val="22"/>
                <w:szCs w:val="22"/>
              </w:rPr>
              <w:t>„</w:t>
            </w:r>
            <w:r w:rsidR="00424249" w:rsidRPr="00070213">
              <w:rPr>
                <w:b/>
                <w:sz w:val="22"/>
                <w:szCs w:val="22"/>
              </w:rPr>
              <w:t>Точка за достъп</w:t>
            </w:r>
            <w:r w:rsidRPr="00070213">
              <w:rPr>
                <w:b/>
                <w:sz w:val="22"/>
                <w:szCs w:val="22"/>
              </w:rPr>
              <w:t>“</w:t>
            </w:r>
            <w:r w:rsidRPr="00070213" w:rsidDel="00882699">
              <w:rPr>
                <w:b/>
                <w:sz w:val="22"/>
                <w:szCs w:val="22"/>
              </w:rPr>
              <w:t xml:space="preserve"> </w:t>
            </w:r>
            <w:r w:rsidR="00424249" w:rsidRPr="00070213">
              <w:rPr>
                <w:sz w:val="22"/>
                <w:szCs w:val="22"/>
              </w:rPr>
              <w:t>е физическа точка, разположена във или извън сградата, до която имат достъп предприятията, които предоставят или които имат право да предоставят обществени съобщителни мрежи, и чрез която се осигурява връзка с физическата инфраструктура в сградата, подготвена за разполагането на електронни съобщителни мрежи.</w:t>
            </w:r>
          </w:p>
          <w:p w:rsidR="00424249" w:rsidRPr="00BC2ED9" w:rsidRDefault="00424249" w:rsidP="00AC192C">
            <w:pPr>
              <w:pStyle w:val="NormalWeb"/>
              <w:spacing w:before="0" w:beforeAutospacing="0" w:after="0" w:afterAutospacing="0"/>
              <w:jc w:val="both"/>
              <w:rPr>
                <w:sz w:val="22"/>
                <w:szCs w:val="22"/>
              </w:rPr>
            </w:pPr>
            <w:r w:rsidRPr="00070213">
              <w:rPr>
                <w:sz w:val="22"/>
                <w:szCs w:val="22"/>
              </w:rPr>
              <w:t>и</w:t>
            </w:r>
          </w:p>
          <w:p w:rsidR="00424249" w:rsidRPr="00BC2ED9" w:rsidRDefault="00424249" w:rsidP="00AC192C">
            <w:pPr>
              <w:jc w:val="both"/>
              <w:rPr>
                <w:sz w:val="22"/>
                <w:szCs w:val="22"/>
                <w:lang w:val="bg-BG" w:eastAsia="bg-BG"/>
              </w:rPr>
            </w:pPr>
            <w:r w:rsidRPr="00070213">
              <w:rPr>
                <w:b/>
                <w:sz w:val="22"/>
                <w:szCs w:val="22"/>
                <w:lang w:val="bg-BG" w:eastAsia="bg-BG"/>
              </w:rPr>
              <w:t xml:space="preserve">„Физическа инфраструктура в сграда“ </w:t>
            </w:r>
            <w:r w:rsidRPr="00070213">
              <w:rPr>
                <w:sz w:val="22"/>
                <w:szCs w:val="22"/>
                <w:lang w:val="bg-BG" w:eastAsia="bg-BG"/>
              </w:rPr>
              <w:t xml:space="preserve">е физическа инфраструктура в сградата на потребител, включително в режим на съсобственост и етажна собственост, предназначена за разполагане на електронни </w:t>
            </w:r>
            <w:r w:rsidRPr="00070213">
              <w:rPr>
                <w:sz w:val="22"/>
                <w:szCs w:val="22"/>
                <w:lang w:val="bg-BG" w:eastAsia="bg-BG"/>
              </w:rPr>
              <w:lastRenderedPageBreak/>
              <w:t>съобщителни мрежи, която свързва точката за достъп в сградата с крайната точка на мрежата в помещение на потребителя.</w:t>
            </w:r>
          </w:p>
          <w:p w:rsidR="00424249" w:rsidRPr="00BC2ED9" w:rsidRDefault="00424249" w:rsidP="00AC192C">
            <w:pPr>
              <w:jc w:val="both"/>
              <w:rPr>
                <w:sz w:val="22"/>
                <w:szCs w:val="22"/>
                <w:lang w:val="bg-BG" w:eastAsia="bg-BG"/>
              </w:rPr>
            </w:pPr>
            <w:r w:rsidRPr="00070213">
              <w:rPr>
                <w:sz w:val="22"/>
                <w:szCs w:val="22"/>
                <w:lang w:val="bg-BG" w:eastAsia="bg-BG"/>
              </w:rPr>
              <w:t>От съвместния прочит на трите легални определения, коментирани в бележката, става ясно, че те са отделни елементи, поради което се предпочита да бъдат изброени самостоятелно, независимо от твърдението</w:t>
            </w:r>
            <w:r w:rsidR="002169BC">
              <w:rPr>
                <w:sz w:val="22"/>
                <w:szCs w:val="22"/>
                <w:lang w:val="bg-BG" w:eastAsia="bg-BG"/>
              </w:rPr>
              <w:t>, че „</w:t>
            </w:r>
            <w:r w:rsidRPr="00070213">
              <w:rPr>
                <w:sz w:val="22"/>
                <w:szCs w:val="22"/>
                <w:lang w:val="bg-BG" w:eastAsia="bg-BG"/>
              </w:rPr>
              <w:t>пространственото</w:t>
            </w:r>
            <w:r w:rsidRPr="00070213">
              <w:rPr>
                <w:sz w:val="22"/>
                <w:szCs w:val="22"/>
                <w:lang w:val="bg-BG"/>
              </w:rPr>
              <w:t xml:space="preserve"> </w:t>
            </w:r>
            <w:r w:rsidRPr="00070213">
              <w:rPr>
                <w:sz w:val="22"/>
                <w:szCs w:val="22"/>
                <w:lang w:val="bg-BG" w:eastAsia="bg-BG"/>
              </w:rPr>
              <w:t>положение на електронните съобщителни мрежи се включват и точките за достъп до сграда“.</w:t>
            </w:r>
          </w:p>
          <w:p w:rsidR="00424249" w:rsidRPr="00BC2ED9" w:rsidRDefault="00424249" w:rsidP="001849B8">
            <w:pPr>
              <w:jc w:val="both"/>
              <w:rPr>
                <w:sz w:val="22"/>
                <w:szCs w:val="22"/>
                <w:lang w:val="bg-BG"/>
              </w:rPr>
            </w:pPr>
            <w:r w:rsidRPr="00070213">
              <w:rPr>
                <w:sz w:val="22"/>
                <w:szCs w:val="22"/>
                <w:lang w:val="bg-BG" w:eastAsia="bg-BG"/>
              </w:rPr>
              <w:t>Така се постига изчерпателност и липса на необходимост от тълкуване дали е необходимо да се документира „</w:t>
            </w:r>
            <w:r w:rsidRPr="00070213">
              <w:rPr>
                <w:rFonts w:eastAsia="Calibri"/>
                <w:color w:val="000000"/>
                <w:sz w:val="22"/>
                <w:szCs w:val="22"/>
                <w:lang w:val="bg-BG"/>
              </w:rPr>
              <w:t xml:space="preserve">пространственото положение и основните технически характеристики“ „на </w:t>
            </w:r>
            <w:r w:rsidRPr="00394C5D">
              <w:rPr>
                <w:rFonts w:eastAsia="Calibri"/>
                <w:sz w:val="22"/>
                <w:szCs w:val="22"/>
                <w:lang w:val="bg-BG"/>
              </w:rPr>
              <w:t>разположението на точката за достъп в сградата“.</w:t>
            </w:r>
          </w:p>
        </w:tc>
      </w:tr>
      <w:tr w:rsidR="00B4155D" w:rsidRPr="00070213" w:rsidTr="00B35421">
        <w:tc>
          <w:tcPr>
            <w:tcW w:w="2610" w:type="dxa"/>
            <w:vMerge/>
            <w:tcBorders>
              <w:top w:val="single" w:sz="4" w:space="0" w:color="auto"/>
              <w:left w:val="single" w:sz="4" w:space="0" w:color="auto"/>
              <w:right w:val="single" w:sz="4" w:space="0" w:color="auto"/>
            </w:tcBorders>
            <w:shd w:val="clear" w:color="auto" w:fill="D0CECE" w:themeFill="background2" w:themeFillShade="E6"/>
          </w:tcPr>
          <w:p w:rsidR="00B4155D" w:rsidRPr="00BC2ED9" w:rsidRDefault="00B4155D" w:rsidP="00AC192C">
            <w:pPr>
              <w:jc w:val="both"/>
              <w:rPr>
                <w:b/>
                <w:sz w:val="22"/>
                <w:szCs w:val="22"/>
                <w:lang w:val="bg-BG"/>
              </w:rPr>
            </w:pPr>
          </w:p>
        </w:tc>
        <w:tc>
          <w:tcPr>
            <w:tcW w:w="6102" w:type="dxa"/>
            <w:tcBorders>
              <w:top w:val="single" w:sz="4" w:space="0" w:color="auto"/>
              <w:left w:val="single" w:sz="4" w:space="0" w:color="auto"/>
              <w:bottom w:val="single" w:sz="4" w:space="0" w:color="auto"/>
              <w:right w:val="single" w:sz="4" w:space="0" w:color="auto"/>
            </w:tcBorders>
          </w:tcPr>
          <w:p w:rsidR="00B4155D" w:rsidRPr="00070213" w:rsidRDefault="001F69C5" w:rsidP="00AC192C">
            <w:pPr>
              <w:pStyle w:val="a0"/>
              <w:shd w:val="clear" w:color="auto" w:fill="auto"/>
              <w:tabs>
                <w:tab w:val="left" w:pos="220"/>
              </w:tabs>
              <w:spacing w:before="0" w:after="0" w:line="240" w:lineRule="auto"/>
              <w:ind w:left="20" w:right="40"/>
              <w:rPr>
                <w:rFonts w:ascii="Times New Roman" w:hAnsi="Times New Roman" w:cs="Times New Roman"/>
                <w:sz w:val="22"/>
                <w:szCs w:val="22"/>
                <w:lang w:eastAsia="bg-BG"/>
              </w:rPr>
            </w:pPr>
            <w:r w:rsidRPr="00070213">
              <w:rPr>
                <w:rFonts w:ascii="Times New Roman" w:hAnsi="Times New Roman" w:cs="Times New Roman"/>
                <w:sz w:val="22"/>
                <w:szCs w:val="22"/>
                <w:lang w:eastAsia="bg-BG"/>
              </w:rPr>
              <w:t>5. Т.5 от чл. 3. (2) дефинира създаването на информационен слой за електронните съобщителни мрежи и свързаната с тях инфраструктура в информационните системи на кадастъра и на имотния регистър. Идеята за многослоен и многофункционален кадастър е много добра, но понятието „информационен слой“ не съществува в ЗКИР. Това прави към момента тази идея неосъществима и съответно текста на проекта за наредба несъобразен с действащият ЗКИР!</w:t>
            </w:r>
          </w:p>
        </w:tc>
        <w:tc>
          <w:tcPr>
            <w:tcW w:w="1543" w:type="dxa"/>
            <w:tcBorders>
              <w:top w:val="single" w:sz="4" w:space="0" w:color="auto"/>
              <w:left w:val="single" w:sz="4" w:space="0" w:color="auto"/>
              <w:bottom w:val="single" w:sz="4" w:space="0" w:color="auto"/>
              <w:right w:val="single" w:sz="4" w:space="0" w:color="auto"/>
            </w:tcBorders>
          </w:tcPr>
          <w:p w:rsidR="00B4155D" w:rsidRPr="00BC2ED9" w:rsidRDefault="00424249" w:rsidP="00450745">
            <w:pPr>
              <w:ind w:right="-102"/>
              <w:jc w:val="center"/>
              <w:rPr>
                <w:sz w:val="22"/>
                <w:szCs w:val="22"/>
                <w:lang w:val="bg-BG"/>
              </w:rPr>
            </w:pPr>
            <w:r w:rsidRPr="00394C5D">
              <w:rPr>
                <w:sz w:val="22"/>
                <w:szCs w:val="22"/>
                <w:lang w:val="bg-BG"/>
              </w:rPr>
              <w:t>Не се приема</w:t>
            </w:r>
          </w:p>
        </w:tc>
        <w:tc>
          <w:tcPr>
            <w:tcW w:w="4380" w:type="dxa"/>
            <w:tcBorders>
              <w:top w:val="single" w:sz="4" w:space="0" w:color="auto"/>
              <w:left w:val="single" w:sz="4" w:space="0" w:color="auto"/>
              <w:bottom w:val="single" w:sz="4" w:space="0" w:color="auto"/>
              <w:right w:val="single" w:sz="4" w:space="0" w:color="auto"/>
            </w:tcBorders>
          </w:tcPr>
          <w:p w:rsidR="00B4155D" w:rsidRPr="00BC2ED9" w:rsidRDefault="00424249" w:rsidP="00AC192C">
            <w:pPr>
              <w:pStyle w:val="NormalWeb"/>
              <w:spacing w:before="0" w:beforeAutospacing="0" w:after="0" w:afterAutospacing="0"/>
              <w:jc w:val="both"/>
              <w:rPr>
                <w:sz w:val="22"/>
                <w:szCs w:val="22"/>
              </w:rPr>
            </w:pPr>
            <w:r w:rsidRPr="00070213">
              <w:rPr>
                <w:sz w:val="22"/>
                <w:szCs w:val="22"/>
              </w:rPr>
              <w:t>Както уточнихме, ЗЕСМФИ и актове по прилагането му са „специален закон“, по-нов при това, по отношение на ЗКИР.</w:t>
            </w:r>
          </w:p>
          <w:p w:rsidR="00424249" w:rsidRPr="00BC2ED9" w:rsidRDefault="00424249" w:rsidP="00AC192C">
            <w:pPr>
              <w:pStyle w:val="NormalWeb"/>
              <w:spacing w:before="0" w:beforeAutospacing="0" w:after="0" w:afterAutospacing="0"/>
              <w:jc w:val="both"/>
              <w:rPr>
                <w:sz w:val="22"/>
                <w:szCs w:val="22"/>
              </w:rPr>
            </w:pPr>
            <w:r w:rsidRPr="00070213">
              <w:rPr>
                <w:sz w:val="22"/>
                <w:szCs w:val="22"/>
              </w:rPr>
              <w:t xml:space="preserve">Освен това не виждаме как </w:t>
            </w:r>
            <w:r w:rsidR="009C0B78" w:rsidRPr="00070213">
              <w:rPr>
                <w:sz w:val="22"/>
                <w:szCs w:val="22"/>
              </w:rPr>
              <w:t>използването на това понятие противоречи на ЗКИР, само защото този акт не го използва. Както признават авторите на становището „Идеята за многослоен и многофункционален кадастър е много добра“.</w:t>
            </w:r>
          </w:p>
          <w:p w:rsidR="009C0B78" w:rsidRPr="00BC2ED9" w:rsidRDefault="009C0B78" w:rsidP="00AC192C">
            <w:pPr>
              <w:pStyle w:val="NormalWeb"/>
              <w:spacing w:before="0" w:beforeAutospacing="0" w:after="0" w:afterAutospacing="0"/>
              <w:jc w:val="both"/>
              <w:rPr>
                <w:sz w:val="22"/>
                <w:szCs w:val="22"/>
              </w:rPr>
            </w:pPr>
            <w:r w:rsidRPr="00070213">
              <w:rPr>
                <w:sz w:val="22"/>
                <w:szCs w:val="22"/>
              </w:rPr>
              <w:t xml:space="preserve">На следващо място, действащата към момента Наредба № 18 от 3.06.2005 г. за съдържанието, условията и реда за създаване и поддържане на специализираните карти и регистри за изградената от оператори далекосъобщителна инфраструктура на </w:t>
            </w:r>
            <w:r w:rsidRPr="00070213">
              <w:rPr>
                <w:sz w:val="22"/>
                <w:szCs w:val="22"/>
              </w:rPr>
              <w:lastRenderedPageBreak/>
              <w:t>министъра на регионалното развитие и благоустройството и понастоящем ползва такова понятие (вж. чл. 3, ал. 2, т. 6: Специализираните карти и регистри на подземната и надземната далекосъобщителна инфраструктура осигуряват информация при […]създаване на информационен слой за далекосъобщителната инфраструктура в информационната система на Агенцията по кадастъра.</w:t>
            </w:r>
          </w:p>
          <w:p w:rsidR="009C0B78" w:rsidRPr="00BC2ED9" w:rsidRDefault="009C0B78" w:rsidP="00AC192C">
            <w:pPr>
              <w:pStyle w:val="NormalWeb"/>
              <w:spacing w:before="0" w:beforeAutospacing="0" w:after="0" w:afterAutospacing="0"/>
              <w:jc w:val="both"/>
              <w:rPr>
                <w:sz w:val="22"/>
                <w:szCs w:val="22"/>
              </w:rPr>
            </w:pPr>
            <w:r w:rsidRPr="00070213">
              <w:rPr>
                <w:sz w:val="22"/>
                <w:szCs w:val="22"/>
              </w:rPr>
              <w:t>На практика информационната система на кадастъра поддържа различни слоеве.</w:t>
            </w:r>
          </w:p>
          <w:p w:rsidR="009C0B78" w:rsidRPr="00BC2ED9" w:rsidRDefault="009C0B78" w:rsidP="00AC192C">
            <w:pPr>
              <w:pStyle w:val="NormalWeb"/>
              <w:spacing w:before="0" w:beforeAutospacing="0" w:after="0" w:afterAutospacing="0"/>
              <w:jc w:val="both"/>
              <w:rPr>
                <w:sz w:val="22"/>
                <w:szCs w:val="22"/>
              </w:rPr>
            </w:pPr>
            <w:r w:rsidRPr="00070213">
              <w:rPr>
                <w:sz w:val="22"/>
                <w:szCs w:val="22"/>
              </w:rPr>
              <w:t>Предвид изложеното, няма правни пречки, дори е полезно (според авторите) и практически оправдано изп</w:t>
            </w:r>
            <w:r w:rsidRPr="00394C5D">
              <w:rPr>
                <w:sz w:val="22"/>
                <w:szCs w:val="22"/>
              </w:rPr>
              <w:t>олзването на това понятие.</w:t>
            </w:r>
          </w:p>
        </w:tc>
      </w:tr>
      <w:tr w:rsidR="00B4155D" w:rsidRPr="00070213" w:rsidTr="00B35421">
        <w:tc>
          <w:tcPr>
            <w:tcW w:w="2610" w:type="dxa"/>
            <w:vMerge/>
            <w:tcBorders>
              <w:top w:val="single" w:sz="4" w:space="0" w:color="auto"/>
              <w:left w:val="single" w:sz="4" w:space="0" w:color="auto"/>
              <w:right w:val="single" w:sz="4" w:space="0" w:color="auto"/>
            </w:tcBorders>
            <w:shd w:val="clear" w:color="auto" w:fill="D0CECE" w:themeFill="background2" w:themeFillShade="E6"/>
          </w:tcPr>
          <w:p w:rsidR="00B4155D" w:rsidRPr="00BC2ED9" w:rsidRDefault="00B4155D" w:rsidP="00AC192C">
            <w:pPr>
              <w:jc w:val="both"/>
              <w:rPr>
                <w:b/>
                <w:sz w:val="22"/>
                <w:szCs w:val="22"/>
                <w:lang w:val="bg-BG"/>
              </w:rPr>
            </w:pPr>
          </w:p>
        </w:tc>
        <w:tc>
          <w:tcPr>
            <w:tcW w:w="6102" w:type="dxa"/>
            <w:tcBorders>
              <w:top w:val="single" w:sz="4" w:space="0" w:color="auto"/>
              <w:left w:val="single" w:sz="4" w:space="0" w:color="auto"/>
              <w:bottom w:val="single" w:sz="4" w:space="0" w:color="auto"/>
              <w:right w:val="single" w:sz="4" w:space="0" w:color="auto"/>
            </w:tcBorders>
          </w:tcPr>
          <w:p w:rsidR="00B4155D" w:rsidRPr="00BC2ED9" w:rsidRDefault="001F69C5" w:rsidP="00AC192C">
            <w:pPr>
              <w:tabs>
                <w:tab w:val="left" w:pos="284"/>
                <w:tab w:val="left" w:pos="993"/>
                <w:tab w:val="left" w:pos="1134"/>
              </w:tabs>
              <w:spacing w:before="60" w:after="60"/>
              <w:jc w:val="both"/>
              <w:rPr>
                <w:sz w:val="22"/>
                <w:szCs w:val="22"/>
                <w:lang w:val="bg-BG" w:eastAsia="bg-BG"/>
              </w:rPr>
            </w:pPr>
            <w:r w:rsidRPr="00070213">
              <w:rPr>
                <w:sz w:val="22"/>
                <w:szCs w:val="22"/>
                <w:lang w:val="bg-BG" w:eastAsia="bg-BG"/>
              </w:rPr>
              <w:t>Чл. 4. (2) определя задължения за предоставяне на данни за изработване на специализирани карти и регистри на електронните съобщителни мрежи, съоръжения и свързаната с тях инфраструктура към определени институции – АГКК, мрежови оператори, общинска администрация, ведомства и юридически лица, които съхраняват кадастрални планове, орган издал разрешението за строеж. За съжаление няма регламентирани отговорности в случай не неизпълнение на тези задължения на посочените институции в процеса на събиране на данни за създаване и поддържане на специализирани карти и регистри! Следва да се отбележат още няколко неща:</w:t>
            </w:r>
          </w:p>
        </w:tc>
        <w:tc>
          <w:tcPr>
            <w:tcW w:w="1543" w:type="dxa"/>
            <w:tcBorders>
              <w:top w:val="single" w:sz="4" w:space="0" w:color="auto"/>
              <w:left w:val="single" w:sz="4" w:space="0" w:color="auto"/>
              <w:bottom w:val="single" w:sz="4" w:space="0" w:color="auto"/>
              <w:right w:val="single" w:sz="4" w:space="0" w:color="auto"/>
            </w:tcBorders>
          </w:tcPr>
          <w:p w:rsidR="00B4155D" w:rsidRPr="00BC2ED9" w:rsidRDefault="0082073F" w:rsidP="00450745">
            <w:pPr>
              <w:ind w:right="-103"/>
              <w:jc w:val="center"/>
              <w:rPr>
                <w:sz w:val="22"/>
                <w:szCs w:val="22"/>
                <w:lang w:val="bg-BG"/>
              </w:rPr>
            </w:pPr>
            <w:r w:rsidRPr="00070213">
              <w:rPr>
                <w:sz w:val="22"/>
                <w:szCs w:val="22"/>
                <w:lang w:val="bg-BG"/>
              </w:rPr>
              <w:t>Не се приема</w:t>
            </w:r>
          </w:p>
        </w:tc>
        <w:tc>
          <w:tcPr>
            <w:tcW w:w="4380" w:type="dxa"/>
            <w:tcBorders>
              <w:top w:val="single" w:sz="4" w:space="0" w:color="auto"/>
              <w:left w:val="single" w:sz="4" w:space="0" w:color="auto"/>
              <w:bottom w:val="single" w:sz="4" w:space="0" w:color="auto"/>
              <w:right w:val="single" w:sz="4" w:space="0" w:color="auto"/>
            </w:tcBorders>
          </w:tcPr>
          <w:p w:rsidR="00C539C3" w:rsidRPr="00BC2ED9" w:rsidRDefault="0082073F" w:rsidP="00AC192C">
            <w:pPr>
              <w:pStyle w:val="NormalWeb"/>
              <w:spacing w:before="0" w:beforeAutospacing="0" w:after="0" w:afterAutospacing="0"/>
              <w:jc w:val="both"/>
              <w:rPr>
                <w:sz w:val="22"/>
                <w:szCs w:val="22"/>
              </w:rPr>
            </w:pPr>
            <w:r w:rsidRPr="00070213">
              <w:rPr>
                <w:sz w:val="22"/>
                <w:szCs w:val="22"/>
              </w:rPr>
              <w:t xml:space="preserve">Отговорността при неизпълнение на правните норми, в смисъл на определянето на административнонаказателни разпоредби (санкции) не може да бъде уредена в подзаконов нормативен акт. </w:t>
            </w:r>
            <w:r w:rsidR="00005530" w:rsidRPr="00394C5D">
              <w:rPr>
                <w:sz w:val="22"/>
                <w:szCs w:val="22"/>
              </w:rPr>
              <w:t xml:space="preserve">Съгласно чл. 2, ал. 1 от Закона за административните нарушения и наказания „Деянията, които съставляват </w:t>
            </w:r>
            <w:r w:rsidR="00005530" w:rsidRPr="001455CC">
              <w:rPr>
                <w:sz w:val="22"/>
                <w:szCs w:val="22"/>
              </w:rPr>
              <w:t>административни нарушения, и съответните за тях наказания, се определят със закон или указ“.</w:t>
            </w:r>
          </w:p>
          <w:p w:rsidR="00005530" w:rsidRPr="00BC2ED9" w:rsidRDefault="00005530" w:rsidP="00AC192C">
            <w:pPr>
              <w:pStyle w:val="NormalWeb"/>
              <w:spacing w:before="0" w:beforeAutospacing="0" w:after="0" w:afterAutospacing="0"/>
              <w:jc w:val="both"/>
              <w:rPr>
                <w:sz w:val="22"/>
                <w:szCs w:val="22"/>
              </w:rPr>
            </w:pPr>
            <w:r w:rsidRPr="00070213">
              <w:rPr>
                <w:sz w:val="22"/>
                <w:szCs w:val="22"/>
              </w:rPr>
              <w:t>Ето защо наредбата не е акт, с който могат да се определят административни нарушения и наказания“.</w:t>
            </w:r>
          </w:p>
          <w:p w:rsidR="00005530" w:rsidRPr="00BC2ED9" w:rsidRDefault="00005530" w:rsidP="00AC192C">
            <w:pPr>
              <w:pStyle w:val="NormalWeb"/>
              <w:spacing w:before="0" w:beforeAutospacing="0" w:after="0" w:afterAutospacing="0"/>
              <w:jc w:val="both"/>
              <w:rPr>
                <w:sz w:val="22"/>
                <w:szCs w:val="22"/>
              </w:rPr>
            </w:pPr>
            <w:r w:rsidRPr="00070213">
              <w:rPr>
                <w:sz w:val="22"/>
                <w:szCs w:val="22"/>
              </w:rPr>
              <w:t>По отношение на изпълнението на законовите задължения на административните органи важат общите правила на Закона за администрацията, Закона за държавния служител и др.</w:t>
            </w:r>
          </w:p>
        </w:tc>
      </w:tr>
      <w:tr w:rsidR="00B4155D" w:rsidRPr="00070213" w:rsidTr="00B35421">
        <w:tc>
          <w:tcPr>
            <w:tcW w:w="2610" w:type="dxa"/>
            <w:vMerge/>
            <w:tcBorders>
              <w:left w:val="single" w:sz="4" w:space="0" w:color="auto"/>
              <w:right w:val="single" w:sz="4" w:space="0" w:color="auto"/>
            </w:tcBorders>
            <w:shd w:val="clear" w:color="auto" w:fill="D0CECE" w:themeFill="background2" w:themeFillShade="E6"/>
          </w:tcPr>
          <w:p w:rsidR="00B4155D" w:rsidRPr="00BC2ED9" w:rsidRDefault="00B4155D" w:rsidP="00AC192C">
            <w:pPr>
              <w:jc w:val="both"/>
              <w:rPr>
                <w:b/>
                <w:sz w:val="22"/>
                <w:szCs w:val="22"/>
                <w:lang w:val="bg-BG"/>
              </w:rPr>
            </w:pPr>
          </w:p>
        </w:tc>
        <w:tc>
          <w:tcPr>
            <w:tcW w:w="6102" w:type="dxa"/>
            <w:tcBorders>
              <w:top w:val="single" w:sz="4" w:space="0" w:color="auto"/>
              <w:left w:val="single" w:sz="4" w:space="0" w:color="auto"/>
              <w:bottom w:val="single" w:sz="4" w:space="0" w:color="auto"/>
              <w:right w:val="single" w:sz="4" w:space="0" w:color="auto"/>
            </w:tcBorders>
          </w:tcPr>
          <w:p w:rsidR="00B4155D" w:rsidRPr="00BC2ED9" w:rsidRDefault="001F69C5" w:rsidP="00AC192C">
            <w:pPr>
              <w:widowControl w:val="0"/>
              <w:spacing w:after="120" w:line="238" w:lineRule="exact"/>
              <w:ind w:left="40" w:right="40"/>
              <w:jc w:val="both"/>
              <w:rPr>
                <w:bCs/>
                <w:color w:val="000000"/>
                <w:sz w:val="22"/>
                <w:szCs w:val="22"/>
                <w:lang w:val="bg-BG" w:eastAsia="bg-BG"/>
              </w:rPr>
            </w:pPr>
            <w:r w:rsidRPr="00070213">
              <w:rPr>
                <w:bCs/>
                <w:color w:val="000000"/>
                <w:sz w:val="22"/>
                <w:szCs w:val="22"/>
                <w:lang w:val="bg-BG" w:eastAsia="bg-BG"/>
              </w:rPr>
              <w:t>- следва да е записано точно на кого се предоставят данните от КККР (на МТИТС, на някой оператор или на друг) защото в КККР има лични данни;</w:t>
            </w:r>
          </w:p>
        </w:tc>
        <w:tc>
          <w:tcPr>
            <w:tcW w:w="1543" w:type="dxa"/>
            <w:tcBorders>
              <w:top w:val="single" w:sz="4" w:space="0" w:color="auto"/>
              <w:left w:val="single" w:sz="4" w:space="0" w:color="auto"/>
              <w:bottom w:val="single" w:sz="4" w:space="0" w:color="auto"/>
              <w:right w:val="single" w:sz="4" w:space="0" w:color="auto"/>
            </w:tcBorders>
          </w:tcPr>
          <w:p w:rsidR="00B4155D" w:rsidRPr="00BC2ED9" w:rsidRDefault="00005530" w:rsidP="00450745">
            <w:pPr>
              <w:ind w:right="-103"/>
              <w:jc w:val="center"/>
              <w:rPr>
                <w:sz w:val="22"/>
                <w:szCs w:val="22"/>
                <w:lang w:val="bg-BG"/>
              </w:rPr>
            </w:pPr>
            <w:r w:rsidRPr="00070213">
              <w:rPr>
                <w:sz w:val="22"/>
                <w:szCs w:val="22"/>
                <w:lang w:val="bg-BG"/>
              </w:rPr>
              <w:t>Не се приема</w:t>
            </w:r>
          </w:p>
        </w:tc>
        <w:tc>
          <w:tcPr>
            <w:tcW w:w="4380" w:type="dxa"/>
            <w:tcBorders>
              <w:top w:val="single" w:sz="4" w:space="0" w:color="auto"/>
              <w:left w:val="single" w:sz="4" w:space="0" w:color="auto"/>
              <w:bottom w:val="single" w:sz="4" w:space="0" w:color="auto"/>
              <w:right w:val="single" w:sz="4" w:space="0" w:color="auto"/>
            </w:tcBorders>
          </w:tcPr>
          <w:p w:rsidR="00B4155D" w:rsidRPr="00BC2ED9" w:rsidRDefault="00005530" w:rsidP="00AC192C">
            <w:pPr>
              <w:pStyle w:val="NormalWeb"/>
              <w:spacing w:before="0" w:beforeAutospacing="0" w:after="0" w:afterAutospacing="0"/>
              <w:jc w:val="both"/>
              <w:rPr>
                <w:sz w:val="22"/>
                <w:szCs w:val="22"/>
              </w:rPr>
            </w:pPr>
            <w:r w:rsidRPr="00070213">
              <w:rPr>
                <w:sz w:val="22"/>
                <w:szCs w:val="22"/>
              </w:rPr>
              <w:t>Припомняме, че съгласно чл. 57, ал. 2 от ЗЕСМФ наредбата има за предмет само „съдържанието на специализираните карти и регистри по ал. 1, както и условията и редът за създаването и поддържането им и форматите на поддържане в електронен вид“.</w:t>
            </w:r>
          </w:p>
          <w:p w:rsidR="00DA796A" w:rsidRPr="001455CC" w:rsidRDefault="00805C78" w:rsidP="00921F8B">
            <w:pPr>
              <w:pStyle w:val="NormalWeb"/>
              <w:spacing w:before="0" w:beforeAutospacing="0" w:after="0" w:afterAutospacing="0"/>
              <w:jc w:val="both"/>
              <w:rPr>
                <w:bCs/>
                <w:sz w:val="22"/>
                <w:szCs w:val="22"/>
              </w:rPr>
            </w:pPr>
            <w:r w:rsidRPr="00070213">
              <w:rPr>
                <w:bCs/>
                <w:sz w:val="22"/>
                <w:szCs w:val="22"/>
              </w:rPr>
              <w:t>Считаме, че не е налице неяснота, тъй като в чл. 2 е посочено, че специализираните карти, регистри и информационни системи за електронните съобщителни мрежи, съоръжения и свързаната с тях физическа инфраструктура се създават от операторите на електронни съобщителни мрежи. Чл. 4, ал. 2</w:t>
            </w:r>
            <w:r w:rsidR="00C44E33" w:rsidRPr="00394C5D">
              <w:rPr>
                <w:bCs/>
                <w:sz w:val="22"/>
                <w:szCs w:val="22"/>
              </w:rPr>
              <w:t xml:space="preserve">, </w:t>
            </w:r>
            <w:r w:rsidR="00DA796A" w:rsidRPr="00394C5D">
              <w:rPr>
                <w:bCs/>
                <w:sz w:val="22"/>
                <w:szCs w:val="22"/>
              </w:rPr>
              <w:t>макар и в безлична форма</w:t>
            </w:r>
            <w:r w:rsidR="00BA1FF1" w:rsidRPr="00394C5D">
              <w:rPr>
                <w:bCs/>
                <w:sz w:val="22"/>
                <w:szCs w:val="22"/>
              </w:rPr>
              <w:t>,</w:t>
            </w:r>
            <w:r w:rsidR="00DA796A" w:rsidRPr="001455CC">
              <w:rPr>
                <w:bCs/>
                <w:sz w:val="22"/>
                <w:szCs w:val="22"/>
              </w:rPr>
              <w:t xml:space="preserve"> </w:t>
            </w:r>
            <w:r w:rsidRPr="001455CC">
              <w:rPr>
                <w:bCs/>
                <w:sz w:val="22"/>
                <w:szCs w:val="22"/>
              </w:rPr>
              <w:t>определя</w:t>
            </w:r>
            <w:r w:rsidR="00BA1FF1" w:rsidRPr="001455CC">
              <w:rPr>
                <w:bCs/>
                <w:sz w:val="22"/>
                <w:szCs w:val="22"/>
              </w:rPr>
              <w:t>,</w:t>
            </w:r>
            <w:r w:rsidRPr="001455CC">
              <w:rPr>
                <w:bCs/>
                <w:sz w:val="22"/>
                <w:szCs w:val="22"/>
              </w:rPr>
              <w:t xml:space="preserve"> че за изработването на специализираните карти се предоставя КККР, което води до извода, че същите се предоставят на операторите на електронни съобщителни мрежи.</w:t>
            </w:r>
          </w:p>
          <w:p w:rsidR="00805C78" w:rsidRPr="00070213" w:rsidRDefault="00805C78" w:rsidP="00921F8B">
            <w:pPr>
              <w:pStyle w:val="NormalWeb"/>
              <w:spacing w:before="0" w:beforeAutospacing="0" w:after="0" w:afterAutospacing="0"/>
              <w:jc w:val="both"/>
              <w:rPr>
                <w:bCs/>
                <w:sz w:val="22"/>
                <w:szCs w:val="22"/>
              </w:rPr>
            </w:pPr>
            <w:r w:rsidRPr="000C225E">
              <w:rPr>
                <w:bCs/>
                <w:sz w:val="22"/>
                <w:szCs w:val="22"/>
              </w:rPr>
              <w:t>В чл. 4, ал. 3 е предвидено</w:t>
            </w:r>
            <w:r w:rsidR="00BA1FF1" w:rsidRPr="00070213">
              <w:rPr>
                <w:bCs/>
                <w:sz w:val="22"/>
                <w:szCs w:val="22"/>
              </w:rPr>
              <w:t xml:space="preserve"> </w:t>
            </w:r>
            <w:r w:rsidRPr="00070213">
              <w:rPr>
                <w:bCs/>
                <w:sz w:val="22"/>
                <w:szCs w:val="22"/>
              </w:rPr>
              <w:t xml:space="preserve">АГКК  </w:t>
            </w:r>
            <w:r w:rsidR="00BA1FF1" w:rsidRPr="00070213">
              <w:rPr>
                <w:bCs/>
                <w:sz w:val="22"/>
                <w:szCs w:val="22"/>
              </w:rPr>
              <w:t xml:space="preserve">да </w:t>
            </w:r>
            <w:r w:rsidRPr="00070213">
              <w:rPr>
                <w:bCs/>
                <w:sz w:val="22"/>
                <w:szCs w:val="22"/>
              </w:rPr>
              <w:t>предоставя данните при условията и по реда на ЗКИР.</w:t>
            </w:r>
          </w:p>
          <w:p w:rsidR="00805C78" w:rsidRPr="00070213" w:rsidRDefault="00DA796A" w:rsidP="00DA796A">
            <w:pPr>
              <w:pStyle w:val="NormalWeb"/>
              <w:spacing w:before="0" w:beforeAutospacing="0" w:after="0" w:afterAutospacing="0"/>
              <w:jc w:val="both"/>
              <w:rPr>
                <w:bCs/>
                <w:color w:val="000000"/>
                <w:sz w:val="22"/>
                <w:szCs w:val="22"/>
              </w:rPr>
            </w:pPr>
            <w:r w:rsidRPr="00070213">
              <w:rPr>
                <w:bCs/>
                <w:sz w:val="22"/>
                <w:szCs w:val="22"/>
              </w:rPr>
              <w:t>Относно личните данни са приложими Регламент (ЕС) 2016/679 (Общ регламент относно защитата на данните) и Закона за защита на личните данни.</w:t>
            </w:r>
          </w:p>
        </w:tc>
      </w:tr>
      <w:tr w:rsidR="00B4155D" w:rsidRPr="00070213" w:rsidTr="00B35421">
        <w:tc>
          <w:tcPr>
            <w:tcW w:w="2610" w:type="dxa"/>
            <w:vMerge/>
            <w:tcBorders>
              <w:left w:val="single" w:sz="4" w:space="0" w:color="auto"/>
              <w:right w:val="single" w:sz="4" w:space="0" w:color="auto"/>
            </w:tcBorders>
            <w:shd w:val="clear" w:color="auto" w:fill="D0CECE" w:themeFill="background2" w:themeFillShade="E6"/>
          </w:tcPr>
          <w:p w:rsidR="00B4155D" w:rsidRPr="00BC2ED9" w:rsidRDefault="00B4155D" w:rsidP="00AC192C">
            <w:pPr>
              <w:jc w:val="both"/>
              <w:rPr>
                <w:b/>
                <w:sz w:val="22"/>
                <w:szCs w:val="22"/>
                <w:lang w:val="bg-BG"/>
              </w:rPr>
            </w:pPr>
          </w:p>
        </w:tc>
        <w:tc>
          <w:tcPr>
            <w:tcW w:w="6102" w:type="dxa"/>
            <w:tcBorders>
              <w:top w:val="single" w:sz="4" w:space="0" w:color="auto"/>
              <w:left w:val="single" w:sz="4" w:space="0" w:color="auto"/>
              <w:bottom w:val="single" w:sz="4" w:space="0" w:color="auto"/>
              <w:right w:val="single" w:sz="4" w:space="0" w:color="auto"/>
            </w:tcBorders>
          </w:tcPr>
          <w:p w:rsidR="00B4155D" w:rsidRPr="00BC2ED9" w:rsidRDefault="001F69C5" w:rsidP="00AC192C">
            <w:pPr>
              <w:jc w:val="both"/>
              <w:rPr>
                <w:sz w:val="22"/>
                <w:szCs w:val="22"/>
                <w:lang w:val="bg-BG"/>
              </w:rPr>
            </w:pPr>
            <w:r w:rsidRPr="00070213">
              <w:rPr>
                <w:sz w:val="22"/>
                <w:szCs w:val="22"/>
                <w:lang w:val="bg-BG"/>
              </w:rPr>
              <w:t>в т.</w:t>
            </w:r>
            <w:r w:rsidR="00830B69" w:rsidRPr="00070213">
              <w:rPr>
                <w:sz w:val="22"/>
                <w:szCs w:val="22"/>
                <w:lang w:val="bg-BG"/>
              </w:rPr>
              <w:t xml:space="preserve"> </w:t>
            </w:r>
            <w:r w:rsidRPr="00070213">
              <w:rPr>
                <w:sz w:val="22"/>
                <w:szCs w:val="22"/>
                <w:lang w:val="bg-BG"/>
              </w:rPr>
              <w:t>2 е записано, че специализирани данни се предоставят от мрежовите оператори или от Агенцията по геодезия, картография и кадастър. Не би следвало АГКК да предоставя специализирани данни на този, който е отговорен за поддържането им в актуално състояние!</w:t>
            </w:r>
          </w:p>
        </w:tc>
        <w:tc>
          <w:tcPr>
            <w:tcW w:w="1543" w:type="dxa"/>
            <w:tcBorders>
              <w:top w:val="single" w:sz="4" w:space="0" w:color="auto"/>
              <w:left w:val="single" w:sz="4" w:space="0" w:color="auto"/>
              <w:bottom w:val="single" w:sz="4" w:space="0" w:color="auto"/>
              <w:right w:val="single" w:sz="4" w:space="0" w:color="auto"/>
            </w:tcBorders>
          </w:tcPr>
          <w:p w:rsidR="00B4155D" w:rsidRPr="00BC2ED9" w:rsidRDefault="00005530" w:rsidP="00450745">
            <w:pPr>
              <w:ind w:right="-103"/>
              <w:jc w:val="center"/>
              <w:rPr>
                <w:sz w:val="22"/>
                <w:szCs w:val="22"/>
                <w:lang w:val="bg-BG"/>
              </w:rPr>
            </w:pPr>
            <w:r w:rsidRPr="00070213">
              <w:rPr>
                <w:sz w:val="22"/>
                <w:szCs w:val="22"/>
                <w:lang w:val="bg-BG"/>
              </w:rPr>
              <w:t>Не се приема</w:t>
            </w:r>
          </w:p>
        </w:tc>
        <w:tc>
          <w:tcPr>
            <w:tcW w:w="4380" w:type="dxa"/>
            <w:tcBorders>
              <w:top w:val="single" w:sz="4" w:space="0" w:color="auto"/>
              <w:left w:val="single" w:sz="4" w:space="0" w:color="auto"/>
              <w:bottom w:val="single" w:sz="4" w:space="0" w:color="auto"/>
              <w:right w:val="single" w:sz="4" w:space="0" w:color="auto"/>
            </w:tcBorders>
          </w:tcPr>
          <w:p w:rsidR="00B4155D" w:rsidRPr="00BC2ED9" w:rsidRDefault="00005530" w:rsidP="00AC192C">
            <w:pPr>
              <w:pStyle w:val="NormalWeb"/>
              <w:spacing w:before="0" w:beforeAutospacing="0" w:after="0" w:afterAutospacing="0"/>
              <w:jc w:val="both"/>
              <w:rPr>
                <w:sz w:val="22"/>
                <w:szCs w:val="22"/>
              </w:rPr>
            </w:pPr>
            <w:r w:rsidRPr="00070213">
              <w:rPr>
                <w:sz w:val="22"/>
                <w:szCs w:val="22"/>
              </w:rPr>
              <w:t xml:space="preserve">Бележката не </w:t>
            </w:r>
            <w:r w:rsidR="005F7BFD">
              <w:rPr>
                <w:sz w:val="22"/>
                <w:szCs w:val="22"/>
              </w:rPr>
              <w:t>отчита</w:t>
            </w:r>
            <w:r w:rsidRPr="00070213">
              <w:rPr>
                <w:sz w:val="22"/>
                <w:szCs w:val="22"/>
              </w:rPr>
              <w:t xml:space="preserve"> обстоятелството, че са налице множество оператори – както оператори на електронни съобщителни мрежи, така и други мрежови оператори.</w:t>
            </w:r>
          </w:p>
          <w:p w:rsidR="00005530" w:rsidRPr="00BC2ED9" w:rsidRDefault="00005530" w:rsidP="00AC192C">
            <w:pPr>
              <w:pStyle w:val="NormalWeb"/>
              <w:spacing w:before="0" w:beforeAutospacing="0" w:after="0" w:afterAutospacing="0"/>
              <w:jc w:val="both"/>
              <w:rPr>
                <w:sz w:val="22"/>
                <w:szCs w:val="22"/>
              </w:rPr>
            </w:pPr>
            <w:r w:rsidRPr="00070213">
              <w:rPr>
                <w:sz w:val="22"/>
                <w:szCs w:val="22"/>
              </w:rPr>
              <w:t>Обръщаме внимание, че съгласно често цитирания в становището чл. 32 от ЗКИР отговорни за събирането на специализирани данни са „</w:t>
            </w:r>
            <w:r w:rsidR="00B95D37" w:rsidRPr="00394C5D">
              <w:rPr>
                <w:sz w:val="22"/>
                <w:szCs w:val="22"/>
              </w:rPr>
              <w:t>в</w:t>
            </w:r>
            <w:r w:rsidRPr="00394C5D">
              <w:rPr>
                <w:sz w:val="22"/>
                <w:szCs w:val="22"/>
              </w:rPr>
              <w:t xml:space="preserve">едомствата, общините, </w:t>
            </w:r>
            <w:r w:rsidRPr="00394C5D">
              <w:rPr>
                <w:sz w:val="22"/>
                <w:szCs w:val="22"/>
              </w:rPr>
              <w:lastRenderedPageBreak/>
              <w:t xml:space="preserve">експлоатационните дружества и други юридически лица съобразно характера на своите функции“. Копие от приетите специализирани карти и регистри се предава безвъзмездно на </w:t>
            </w:r>
            <w:r w:rsidR="005F7BFD">
              <w:rPr>
                <w:sz w:val="22"/>
                <w:szCs w:val="22"/>
              </w:rPr>
              <w:t>АГКК</w:t>
            </w:r>
            <w:r w:rsidR="00B95D37" w:rsidRPr="001455CC">
              <w:rPr>
                <w:sz w:val="22"/>
                <w:szCs w:val="22"/>
              </w:rPr>
              <w:t xml:space="preserve"> съгласно чл. 32, ал. 5 от ЗКИР. Следователно там е мястото, от където следва да бъде получена посочената информация, необходима за изработването на специализирани карти и регистри на електронните съобщителни мрежи, съоръжения и свързаната с тях инфраструктура. </w:t>
            </w:r>
          </w:p>
          <w:p w:rsidR="00B95D37" w:rsidRPr="00BC2ED9" w:rsidRDefault="00B95D37" w:rsidP="00AC192C">
            <w:pPr>
              <w:pStyle w:val="NormalWeb"/>
              <w:spacing w:before="0" w:beforeAutospacing="0" w:after="0" w:afterAutospacing="0"/>
              <w:jc w:val="both"/>
              <w:rPr>
                <w:sz w:val="22"/>
                <w:szCs w:val="22"/>
              </w:rPr>
            </w:pPr>
            <w:r w:rsidRPr="00070213">
              <w:rPr>
                <w:sz w:val="22"/>
                <w:szCs w:val="22"/>
              </w:rPr>
              <w:t>С други думи, този текст се отнася за данните, предоставени от други оператори, които са необходими за изработването на съответната специализирана карта.</w:t>
            </w:r>
          </w:p>
        </w:tc>
      </w:tr>
      <w:tr w:rsidR="00B4155D" w:rsidRPr="00070213" w:rsidTr="00B35421">
        <w:tc>
          <w:tcPr>
            <w:tcW w:w="2610" w:type="dxa"/>
            <w:vMerge/>
            <w:tcBorders>
              <w:left w:val="single" w:sz="4" w:space="0" w:color="auto"/>
              <w:right w:val="single" w:sz="4" w:space="0" w:color="auto"/>
            </w:tcBorders>
            <w:shd w:val="clear" w:color="auto" w:fill="D0CECE" w:themeFill="background2" w:themeFillShade="E6"/>
          </w:tcPr>
          <w:p w:rsidR="00B4155D" w:rsidRPr="00BC2ED9" w:rsidRDefault="00B4155D" w:rsidP="00AC192C">
            <w:pPr>
              <w:jc w:val="both"/>
              <w:rPr>
                <w:b/>
                <w:sz w:val="22"/>
                <w:szCs w:val="22"/>
                <w:lang w:val="bg-BG"/>
              </w:rPr>
            </w:pPr>
          </w:p>
        </w:tc>
        <w:tc>
          <w:tcPr>
            <w:tcW w:w="6102" w:type="dxa"/>
            <w:tcBorders>
              <w:top w:val="single" w:sz="4" w:space="0" w:color="auto"/>
              <w:left w:val="single" w:sz="4" w:space="0" w:color="auto"/>
              <w:bottom w:val="single" w:sz="4" w:space="0" w:color="auto"/>
              <w:right w:val="single" w:sz="4" w:space="0" w:color="auto"/>
            </w:tcBorders>
          </w:tcPr>
          <w:p w:rsidR="00B4155D" w:rsidRPr="00BC2ED9" w:rsidRDefault="001F69C5" w:rsidP="00AC192C">
            <w:pPr>
              <w:jc w:val="both"/>
              <w:rPr>
                <w:sz w:val="22"/>
                <w:szCs w:val="22"/>
                <w:lang w:val="bg-BG"/>
              </w:rPr>
            </w:pPr>
            <w:r w:rsidRPr="00070213">
              <w:rPr>
                <w:sz w:val="22"/>
                <w:szCs w:val="22"/>
                <w:lang w:val="bg-BG"/>
              </w:rPr>
              <w:t>Изискването на т.4 да се предоставят копия от одобрените инвестиционни проекти и екзекутивни документации за изградените обекти на електронната съобщителна инфраструктура от техническия архив на органа, издал разрешението за строеж също не е коректно, именно защото не от одобрените инвестиционни проекти и не от органа, издал разрешението за строеж ще се черпи информация за създаване на специализирани карти, а от екзекутиви ПРИ ОПЕРАТОРА И ОТ ПРЕКИ ИЗМЕРВАНИЯ.</w:t>
            </w:r>
          </w:p>
        </w:tc>
        <w:tc>
          <w:tcPr>
            <w:tcW w:w="1543" w:type="dxa"/>
            <w:tcBorders>
              <w:top w:val="single" w:sz="4" w:space="0" w:color="auto"/>
              <w:left w:val="single" w:sz="4" w:space="0" w:color="auto"/>
              <w:bottom w:val="single" w:sz="4" w:space="0" w:color="auto"/>
              <w:right w:val="single" w:sz="4" w:space="0" w:color="auto"/>
            </w:tcBorders>
          </w:tcPr>
          <w:p w:rsidR="00B4155D" w:rsidRPr="00BC2ED9" w:rsidRDefault="00B95D37" w:rsidP="00450745">
            <w:pPr>
              <w:ind w:right="-103"/>
              <w:jc w:val="center"/>
              <w:rPr>
                <w:sz w:val="22"/>
                <w:szCs w:val="22"/>
                <w:lang w:val="bg-BG"/>
              </w:rPr>
            </w:pPr>
            <w:r w:rsidRPr="00070213">
              <w:rPr>
                <w:sz w:val="22"/>
                <w:szCs w:val="22"/>
                <w:lang w:val="bg-BG"/>
              </w:rPr>
              <w:t>Не се приема</w:t>
            </w:r>
          </w:p>
        </w:tc>
        <w:tc>
          <w:tcPr>
            <w:tcW w:w="4380" w:type="dxa"/>
            <w:tcBorders>
              <w:top w:val="single" w:sz="4" w:space="0" w:color="auto"/>
              <w:left w:val="single" w:sz="4" w:space="0" w:color="auto"/>
              <w:bottom w:val="single" w:sz="4" w:space="0" w:color="auto"/>
              <w:right w:val="single" w:sz="4" w:space="0" w:color="auto"/>
            </w:tcBorders>
          </w:tcPr>
          <w:p w:rsidR="00410798" w:rsidRPr="00BC2ED9" w:rsidRDefault="00B95D37" w:rsidP="00FD24BB">
            <w:pPr>
              <w:pStyle w:val="NormalWeb"/>
              <w:spacing w:before="0" w:beforeAutospacing="0" w:after="0" w:afterAutospacing="0"/>
              <w:jc w:val="both"/>
              <w:rPr>
                <w:sz w:val="22"/>
                <w:szCs w:val="22"/>
              </w:rPr>
            </w:pPr>
            <w:r w:rsidRPr="00070213">
              <w:rPr>
                <w:sz w:val="22"/>
                <w:szCs w:val="22"/>
              </w:rPr>
              <w:t xml:space="preserve">Преките </w:t>
            </w:r>
            <w:r w:rsidR="00936927" w:rsidRPr="00070213">
              <w:rPr>
                <w:sz w:val="22"/>
                <w:szCs w:val="22"/>
              </w:rPr>
              <w:t xml:space="preserve">измервания </w:t>
            </w:r>
            <w:r w:rsidRPr="00070213">
              <w:rPr>
                <w:sz w:val="22"/>
                <w:szCs w:val="22"/>
              </w:rPr>
              <w:t>на място са само един от начините за „</w:t>
            </w:r>
            <w:r w:rsidR="00D32614" w:rsidRPr="00070213">
              <w:rPr>
                <w:sz w:val="22"/>
                <w:szCs w:val="22"/>
              </w:rPr>
              <w:t>черпене</w:t>
            </w:r>
            <w:r w:rsidRPr="00070213">
              <w:rPr>
                <w:sz w:val="22"/>
                <w:szCs w:val="22"/>
              </w:rPr>
              <w:t xml:space="preserve"> на информация“.</w:t>
            </w:r>
          </w:p>
        </w:tc>
      </w:tr>
      <w:tr w:rsidR="00B4155D" w:rsidRPr="00070213" w:rsidTr="00B35421">
        <w:tc>
          <w:tcPr>
            <w:tcW w:w="2610" w:type="dxa"/>
            <w:vMerge/>
            <w:tcBorders>
              <w:left w:val="single" w:sz="4" w:space="0" w:color="auto"/>
              <w:right w:val="single" w:sz="4" w:space="0" w:color="auto"/>
            </w:tcBorders>
            <w:shd w:val="clear" w:color="auto" w:fill="D0CECE" w:themeFill="background2" w:themeFillShade="E6"/>
          </w:tcPr>
          <w:p w:rsidR="00B4155D" w:rsidRPr="00BC2ED9" w:rsidRDefault="00B4155D" w:rsidP="00AC192C">
            <w:pPr>
              <w:jc w:val="both"/>
              <w:rPr>
                <w:b/>
                <w:sz w:val="22"/>
                <w:szCs w:val="22"/>
                <w:lang w:val="bg-BG"/>
              </w:rPr>
            </w:pPr>
          </w:p>
        </w:tc>
        <w:tc>
          <w:tcPr>
            <w:tcW w:w="6102" w:type="dxa"/>
            <w:tcBorders>
              <w:top w:val="single" w:sz="4" w:space="0" w:color="auto"/>
              <w:left w:val="single" w:sz="4" w:space="0" w:color="auto"/>
              <w:bottom w:val="single" w:sz="4" w:space="0" w:color="auto"/>
              <w:right w:val="single" w:sz="4" w:space="0" w:color="auto"/>
            </w:tcBorders>
          </w:tcPr>
          <w:p w:rsidR="00B4155D" w:rsidRPr="00BC2ED9" w:rsidRDefault="001F69C5" w:rsidP="00AC192C">
            <w:pPr>
              <w:jc w:val="both"/>
              <w:rPr>
                <w:sz w:val="22"/>
                <w:szCs w:val="22"/>
                <w:lang w:val="bg-BG"/>
              </w:rPr>
            </w:pPr>
            <w:r w:rsidRPr="00070213">
              <w:rPr>
                <w:sz w:val="22"/>
                <w:szCs w:val="22"/>
                <w:lang w:val="bg-BG"/>
              </w:rPr>
              <w:t>6. Проблемът, посочен в т.2 от настоящото становище се репликира отново в чл.5 (2), където се говори за повече от един формат, в който се съхраняват специализираните карти и регистри в електронен вид. Не ни е известно в правния мир да съществува посоченият в текста „…формат, поддържан от Единната информационна точка“, но самата идея за наличие на повече от един формат за обмен на пространствени данни обуславя обосновано усещане за предстоящ хаос и изисква непременно и навременно централизирано решение за приемане на единен такъв формат.</w:t>
            </w:r>
          </w:p>
        </w:tc>
        <w:tc>
          <w:tcPr>
            <w:tcW w:w="1543" w:type="dxa"/>
            <w:tcBorders>
              <w:top w:val="single" w:sz="4" w:space="0" w:color="auto"/>
              <w:left w:val="single" w:sz="4" w:space="0" w:color="auto"/>
              <w:bottom w:val="single" w:sz="4" w:space="0" w:color="auto"/>
              <w:right w:val="single" w:sz="4" w:space="0" w:color="auto"/>
            </w:tcBorders>
          </w:tcPr>
          <w:p w:rsidR="00B4155D" w:rsidRPr="00BC2ED9" w:rsidRDefault="00B95D37" w:rsidP="00450745">
            <w:pPr>
              <w:ind w:right="-103"/>
              <w:jc w:val="center"/>
              <w:rPr>
                <w:sz w:val="22"/>
                <w:szCs w:val="22"/>
                <w:lang w:val="bg-BG"/>
              </w:rPr>
            </w:pPr>
            <w:r w:rsidRPr="00070213">
              <w:rPr>
                <w:sz w:val="22"/>
                <w:szCs w:val="22"/>
                <w:lang w:val="bg-BG"/>
              </w:rPr>
              <w:t>Не се приема</w:t>
            </w:r>
          </w:p>
        </w:tc>
        <w:tc>
          <w:tcPr>
            <w:tcW w:w="4380" w:type="dxa"/>
            <w:tcBorders>
              <w:top w:val="single" w:sz="4" w:space="0" w:color="auto"/>
              <w:left w:val="single" w:sz="4" w:space="0" w:color="auto"/>
              <w:bottom w:val="single" w:sz="4" w:space="0" w:color="auto"/>
              <w:right w:val="single" w:sz="4" w:space="0" w:color="auto"/>
            </w:tcBorders>
          </w:tcPr>
          <w:p w:rsidR="00B4155D" w:rsidRPr="00BC2ED9" w:rsidRDefault="00B95D37" w:rsidP="00AC192C">
            <w:pPr>
              <w:pStyle w:val="NormalWeb"/>
              <w:spacing w:before="0" w:beforeAutospacing="0" w:after="0" w:afterAutospacing="0"/>
              <w:jc w:val="both"/>
              <w:rPr>
                <w:sz w:val="22"/>
                <w:szCs w:val="22"/>
              </w:rPr>
            </w:pPr>
            <w:r w:rsidRPr="00070213">
              <w:rPr>
                <w:sz w:val="22"/>
                <w:szCs w:val="22"/>
              </w:rPr>
              <w:t xml:space="preserve">Предстои приемането на наредба, в която </w:t>
            </w:r>
            <w:r w:rsidR="009E5A39" w:rsidRPr="00070213">
              <w:rPr>
                <w:sz w:val="22"/>
                <w:szCs w:val="22"/>
              </w:rPr>
              <w:t xml:space="preserve">да </w:t>
            </w:r>
            <w:r w:rsidRPr="00394C5D">
              <w:rPr>
                <w:sz w:val="22"/>
                <w:szCs w:val="22"/>
              </w:rPr>
              <w:t>бъдат посочени форматите, в които се пре</w:t>
            </w:r>
            <w:r w:rsidR="009907DC">
              <w:rPr>
                <w:sz w:val="22"/>
                <w:szCs w:val="22"/>
              </w:rPr>
              <w:t>доставят и поддържат данните в Е</w:t>
            </w:r>
            <w:r w:rsidRPr="00394C5D">
              <w:rPr>
                <w:sz w:val="22"/>
                <w:szCs w:val="22"/>
              </w:rPr>
              <w:t>динната информационна точка – наредбата по чл. 5, ал. 4 от ЗЕСМФИ.</w:t>
            </w:r>
          </w:p>
          <w:p w:rsidR="00B95D37" w:rsidRPr="00BC2ED9" w:rsidRDefault="00B95D37" w:rsidP="009907DC">
            <w:pPr>
              <w:pStyle w:val="NormalWeb"/>
              <w:spacing w:before="0" w:beforeAutospacing="0" w:after="0" w:afterAutospacing="0"/>
              <w:jc w:val="both"/>
              <w:rPr>
                <w:sz w:val="22"/>
                <w:szCs w:val="22"/>
              </w:rPr>
            </w:pPr>
            <w:r w:rsidRPr="00070213">
              <w:rPr>
                <w:sz w:val="22"/>
                <w:szCs w:val="22"/>
              </w:rPr>
              <w:t>Що се отнася до „основното усещане за хаос“, следва да се посочи, че съвременните технологични решения позволяват ползването на повече от един формат</w:t>
            </w:r>
            <w:r w:rsidRPr="00394C5D">
              <w:rPr>
                <w:sz w:val="22"/>
                <w:szCs w:val="22"/>
              </w:rPr>
              <w:t>.</w:t>
            </w:r>
          </w:p>
        </w:tc>
      </w:tr>
      <w:tr w:rsidR="00B4155D" w:rsidRPr="00070213" w:rsidTr="00B35421">
        <w:tc>
          <w:tcPr>
            <w:tcW w:w="2610" w:type="dxa"/>
            <w:vMerge/>
            <w:tcBorders>
              <w:left w:val="single" w:sz="4" w:space="0" w:color="auto"/>
              <w:right w:val="single" w:sz="4" w:space="0" w:color="auto"/>
            </w:tcBorders>
            <w:shd w:val="clear" w:color="auto" w:fill="D0CECE" w:themeFill="background2" w:themeFillShade="E6"/>
          </w:tcPr>
          <w:p w:rsidR="00B4155D" w:rsidRPr="00BC2ED9" w:rsidRDefault="00B4155D" w:rsidP="00AC192C">
            <w:pPr>
              <w:jc w:val="both"/>
              <w:rPr>
                <w:b/>
                <w:sz w:val="22"/>
                <w:szCs w:val="22"/>
                <w:lang w:val="bg-BG"/>
              </w:rPr>
            </w:pPr>
          </w:p>
        </w:tc>
        <w:tc>
          <w:tcPr>
            <w:tcW w:w="6102" w:type="dxa"/>
            <w:tcBorders>
              <w:top w:val="single" w:sz="4" w:space="0" w:color="auto"/>
              <w:left w:val="single" w:sz="4" w:space="0" w:color="auto"/>
              <w:bottom w:val="single" w:sz="4" w:space="0" w:color="auto"/>
              <w:right w:val="single" w:sz="4" w:space="0" w:color="auto"/>
            </w:tcBorders>
          </w:tcPr>
          <w:p w:rsidR="00B4155D" w:rsidRPr="00BC2ED9" w:rsidRDefault="00441DC9" w:rsidP="00AC192C">
            <w:pPr>
              <w:jc w:val="both"/>
              <w:rPr>
                <w:sz w:val="22"/>
                <w:szCs w:val="22"/>
                <w:lang w:val="bg-BG"/>
              </w:rPr>
            </w:pPr>
            <w:r w:rsidRPr="00070213">
              <w:rPr>
                <w:sz w:val="22"/>
                <w:szCs w:val="22"/>
                <w:lang w:val="bg-BG"/>
              </w:rPr>
              <w:t>7. В чл. 6. (1) се въвежда различно третиране на специализираните карти и регистри на електронните съобщителни мрежи, съоръжения и свързаната с тях физическа инфраструктура за урбанизираните територии и за неурбанизираните територии. В последващите текстове на Глава втора в проекта за наредба, регламентираща съдържанието на специализираните карти и регистри, това различие не само че не се обосновава, но остава още по-неизяснена концепцията, налагаща такова разделение! Физическите елементи (с техните характеристики) на електронните съобщителни мрежи, съоръжения и свързаната с тях физ</w:t>
            </w:r>
            <w:r w:rsidRPr="00394C5D">
              <w:rPr>
                <w:sz w:val="22"/>
                <w:szCs w:val="22"/>
                <w:lang w:val="bg-BG"/>
              </w:rPr>
              <w:t>ическа инфраструктура нямат никакво отношение към вида територия, в която са изградени. Следователно данните в специализираните карти и регистри за тези мрежи нямат териториално изразени различия, които да налагат разделянето им по такъв признак. Това е видно и от предложените текстове в Глава втора, в които почти всички описани данни, включени в съдържанието на специализираните карти в урбанизирани и неурбанизирани територии се повтарят. Считаме такова разделение за необосновано, изкуствено и ненужно. Пред</w:t>
            </w:r>
            <w:r w:rsidRPr="001455CC">
              <w:rPr>
                <w:sz w:val="22"/>
                <w:szCs w:val="22"/>
                <w:lang w:val="bg-BG"/>
              </w:rPr>
              <w:t>лагаме текстовете в Глава втора: „Съдържание на специализираните карти и регистри на електронните съобщителни мрежи, съоръжения и свързаната с тях инфраструктура“ да се преработят така, че тази фиктивна разлика да се заличи.</w:t>
            </w:r>
          </w:p>
        </w:tc>
        <w:tc>
          <w:tcPr>
            <w:tcW w:w="1543" w:type="dxa"/>
            <w:tcBorders>
              <w:top w:val="single" w:sz="4" w:space="0" w:color="auto"/>
              <w:left w:val="single" w:sz="4" w:space="0" w:color="auto"/>
              <w:bottom w:val="single" w:sz="4" w:space="0" w:color="auto"/>
              <w:right w:val="single" w:sz="4" w:space="0" w:color="auto"/>
            </w:tcBorders>
          </w:tcPr>
          <w:p w:rsidR="00B4155D" w:rsidRPr="00BC2ED9" w:rsidRDefault="00B95D37" w:rsidP="00450745">
            <w:pPr>
              <w:ind w:right="-103"/>
              <w:jc w:val="center"/>
              <w:rPr>
                <w:sz w:val="22"/>
                <w:szCs w:val="22"/>
                <w:lang w:val="bg-BG"/>
              </w:rPr>
            </w:pPr>
            <w:r w:rsidRPr="00070213">
              <w:rPr>
                <w:sz w:val="22"/>
                <w:szCs w:val="22"/>
                <w:lang w:val="bg-BG"/>
              </w:rPr>
              <w:t>Не се приема</w:t>
            </w:r>
          </w:p>
        </w:tc>
        <w:tc>
          <w:tcPr>
            <w:tcW w:w="4380" w:type="dxa"/>
            <w:tcBorders>
              <w:top w:val="single" w:sz="4" w:space="0" w:color="auto"/>
              <w:left w:val="single" w:sz="4" w:space="0" w:color="auto"/>
              <w:bottom w:val="single" w:sz="4" w:space="0" w:color="auto"/>
              <w:right w:val="single" w:sz="4" w:space="0" w:color="auto"/>
            </w:tcBorders>
          </w:tcPr>
          <w:p w:rsidR="00C05CF0" w:rsidRPr="00BC2ED9" w:rsidRDefault="00B95D37" w:rsidP="00AC192C">
            <w:pPr>
              <w:pStyle w:val="NormalWeb"/>
              <w:spacing w:before="0" w:beforeAutospacing="0" w:after="0" w:afterAutospacing="0"/>
              <w:jc w:val="both"/>
              <w:rPr>
                <w:sz w:val="22"/>
                <w:szCs w:val="22"/>
              </w:rPr>
            </w:pPr>
            <w:r w:rsidRPr="00070213">
              <w:rPr>
                <w:sz w:val="22"/>
                <w:szCs w:val="22"/>
              </w:rPr>
              <w:t>Предпочетена е по-детайлна уредба според вида на територията.</w:t>
            </w:r>
          </w:p>
        </w:tc>
      </w:tr>
      <w:tr w:rsidR="00B4155D" w:rsidRPr="00070213" w:rsidTr="00B35421">
        <w:tc>
          <w:tcPr>
            <w:tcW w:w="2610" w:type="dxa"/>
            <w:vMerge/>
            <w:tcBorders>
              <w:left w:val="single" w:sz="4" w:space="0" w:color="auto"/>
              <w:right w:val="single" w:sz="4" w:space="0" w:color="auto"/>
            </w:tcBorders>
            <w:shd w:val="clear" w:color="auto" w:fill="D0CECE" w:themeFill="background2" w:themeFillShade="E6"/>
          </w:tcPr>
          <w:p w:rsidR="00B4155D" w:rsidRPr="00BC2ED9" w:rsidRDefault="00B4155D" w:rsidP="00AC192C">
            <w:pPr>
              <w:jc w:val="both"/>
              <w:rPr>
                <w:b/>
                <w:sz w:val="22"/>
                <w:szCs w:val="22"/>
                <w:lang w:val="bg-BG"/>
              </w:rPr>
            </w:pPr>
          </w:p>
        </w:tc>
        <w:tc>
          <w:tcPr>
            <w:tcW w:w="6102" w:type="dxa"/>
            <w:tcBorders>
              <w:top w:val="single" w:sz="4" w:space="0" w:color="auto"/>
              <w:left w:val="single" w:sz="4" w:space="0" w:color="auto"/>
              <w:bottom w:val="single" w:sz="4" w:space="0" w:color="auto"/>
              <w:right w:val="single" w:sz="4" w:space="0" w:color="auto"/>
            </w:tcBorders>
          </w:tcPr>
          <w:p w:rsidR="00B4155D" w:rsidRPr="00BC2ED9" w:rsidRDefault="00441DC9" w:rsidP="00AC192C">
            <w:pPr>
              <w:jc w:val="both"/>
              <w:rPr>
                <w:sz w:val="22"/>
                <w:szCs w:val="22"/>
                <w:lang w:val="bg-BG"/>
              </w:rPr>
            </w:pPr>
            <w:r w:rsidRPr="00070213">
              <w:rPr>
                <w:sz w:val="22"/>
                <w:szCs w:val="22"/>
                <w:lang w:val="bg-BG"/>
              </w:rPr>
              <w:t xml:space="preserve">8. В текстовете на Глава втора са включени значителен брой категории данни, които би трябвало да са предмет на други специализирани карти и регистри и информационни системи, различни от предмета на електронните съобщителни мрежи, съоръжения и свързаната с тях физическа инфраструктура. Примерите са много и издават мислене, подходящо за отминалото време, когато се създаваха печатни статични хартиени карти – данните трябва да се съберат от различни източници за да се отпечатат в един картографски продукт. Проектът на наредба не предвижда механизъм за споделено </w:t>
            </w:r>
            <w:r w:rsidRPr="00070213">
              <w:rPr>
                <w:sz w:val="22"/>
                <w:szCs w:val="22"/>
                <w:lang w:val="bg-BG"/>
              </w:rPr>
              <w:lastRenderedPageBreak/>
              <w:t xml:space="preserve">ползване на тези данни от други информационни системи. Споделеното ползване на данни от различни информационни системи е в синхрон с изискването на чл. 33 </w:t>
            </w:r>
            <w:r w:rsidRPr="00394C5D">
              <w:rPr>
                <w:sz w:val="22"/>
                <w:szCs w:val="22"/>
                <w:lang w:val="bg-BG"/>
              </w:rPr>
              <w:t>от ЗКИР, както и обратно – в чл. 32 (9) на ЗКИР се поставя задължението „Лицата по ал. 1 са длъжни да предоставят публичен достъп до специализираните карти, регистри и информационни системи за извършване на справки и проверки, както и за получаване на специализирани данни, които набират и поддържат в актуално състояние съобразно характера на своите функции. Достъпът до данните по ал. 1, т. 1 се осъществява по електронен път чрез информационния портал на Единната информационна точка“. Подходът в проекта за н</w:t>
            </w:r>
            <w:r w:rsidRPr="001455CC">
              <w:rPr>
                <w:sz w:val="22"/>
                <w:szCs w:val="22"/>
                <w:lang w:val="bg-BG"/>
              </w:rPr>
              <w:t>аредба предполага дублирането на много такива данни в специализираните карти, регистри и информационни системи за електронните съобщителни мрежи, съоръжения и свързаната с тях физическа инфраструктура. По аналогия всички останали ведомства, които имат отговорност за създаване на специализирани карти и регистри по ЗКИР, могат да предложат дублиране на данните за електронните съобщителни мрежи, поддържани по предлаганата наредба. Именно МТСИТ би трябвало да е флагмана за внедряването на информационните технол</w:t>
            </w:r>
            <w:r w:rsidRPr="000C225E">
              <w:rPr>
                <w:sz w:val="22"/>
                <w:szCs w:val="22"/>
                <w:lang w:val="bg-BG"/>
              </w:rPr>
              <w:t>огии с възможности да съвместено използване на една и съща информация от различни информационни системи, особено чрез подопечната им Единна информационна точка, но това въобще не се вижда в концепцията на предлагания проект за наредба.</w:t>
            </w:r>
          </w:p>
        </w:tc>
        <w:tc>
          <w:tcPr>
            <w:tcW w:w="1543" w:type="dxa"/>
            <w:tcBorders>
              <w:top w:val="single" w:sz="4" w:space="0" w:color="auto"/>
              <w:left w:val="single" w:sz="4" w:space="0" w:color="auto"/>
              <w:bottom w:val="single" w:sz="4" w:space="0" w:color="auto"/>
              <w:right w:val="single" w:sz="4" w:space="0" w:color="auto"/>
            </w:tcBorders>
          </w:tcPr>
          <w:p w:rsidR="00B4155D" w:rsidRPr="00BC2ED9" w:rsidRDefault="00B95D37" w:rsidP="00450745">
            <w:pPr>
              <w:ind w:right="-103"/>
              <w:jc w:val="center"/>
              <w:rPr>
                <w:sz w:val="22"/>
                <w:szCs w:val="22"/>
                <w:lang w:val="bg-BG"/>
              </w:rPr>
            </w:pPr>
            <w:r w:rsidRPr="00070213">
              <w:rPr>
                <w:sz w:val="22"/>
                <w:szCs w:val="22"/>
                <w:lang w:val="bg-BG"/>
              </w:rPr>
              <w:lastRenderedPageBreak/>
              <w:t>Не се приема</w:t>
            </w:r>
          </w:p>
        </w:tc>
        <w:tc>
          <w:tcPr>
            <w:tcW w:w="4380" w:type="dxa"/>
            <w:tcBorders>
              <w:top w:val="single" w:sz="4" w:space="0" w:color="auto"/>
              <w:left w:val="single" w:sz="4" w:space="0" w:color="auto"/>
              <w:bottom w:val="single" w:sz="4" w:space="0" w:color="auto"/>
              <w:right w:val="single" w:sz="4" w:space="0" w:color="auto"/>
            </w:tcBorders>
          </w:tcPr>
          <w:p w:rsidR="00B4155D" w:rsidRPr="00BC2ED9" w:rsidRDefault="00B95D37" w:rsidP="00AC192C">
            <w:pPr>
              <w:pStyle w:val="NormalWeb"/>
              <w:spacing w:before="0" w:beforeAutospacing="0" w:after="0" w:afterAutospacing="0"/>
              <w:jc w:val="both"/>
              <w:rPr>
                <w:sz w:val="22"/>
                <w:szCs w:val="22"/>
              </w:rPr>
            </w:pPr>
            <w:r w:rsidRPr="00070213">
              <w:rPr>
                <w:sz w:val="22"/>
                <w:szCs w:val="22"/>
              </w:rPr>
              <w:t xml:space="preserve">Споделеното ползване на данни не е предмет на тази наредба, тъй като, както посочихме </w:t>
            </w:r>
            <w:r w:rsidR="00C51553" w:rsidRPr="00070213">
              <w:rPr>
                <w:sz w:val="22"/>
                <w:szCs w:val="22"/>
              </w:rPr>
              <w:t xml:space="preserve">по-горе, законовата делегация за създаването ѝ е различна. От друга страна, в чл. 32, ал. 9 на ЗКИР липсва препратка към ЗЕСМФИ, от която да може да се направи извод, че посочената там </w:t>
            </w:r>
            <w:r w:rsidR="000E2547">
              <w:rPr>
                <w:sz w:val="22"/>
                <w:szCs w:val="22"/>
              </w:rPr>
              <w:t>Е</w:t>
            </w:r>
            <w:r w:rsidR="00C51553" w:rsidRPr="00070213">
              <w:rPr>
                <w:sz w:val="22"/>
                <w:szCs w:val="22"/>
              </w:rPr>
              <w:t>динна информационна точка е точката по ЗЕСМФИ.</w:t>
            </w:r>
          </w:p>
          <w:p w:rsidR="00C51553" w:rsidRPr="00BC2ED9" w:rsidRDefault="00C51553" w:rsidP="00AC192C">
            <w:pPr>
              <w:pStyle w:val="NormalWeb"/>
              <w:spacing w:before="0" w:beforeAutospacing="0" w:after="0" w:afterAutospacing="0"/>
              <w:jc w:val="both"/>
              <w:rPr>
                <w:sz w:val="22"/>
                <w:szCs w:val="22"/>
              </w:rPr>
            </w:pPr>
            <w:r w:rsidRPr="00070213">
              <w:rPr>
                <w:sz w:val="22"/>
                <w:szCs w:val="22"/>
              </w:rPr>
              <w:lastRenderedPageBreak/>
              <w:t xml:space="preserve">Освен това реда и условията за предоставяне на информация от и на точката по ЗЕСМФИ е предмет на отделна уредба. </w:t>
            </w:r>
          </w:p>
          <w:p w:rsidR="00C51553" w:rsidRPr="00BC2ED9" w:rsidRDefault="00C51553" w:rsidP="00AC192C">
            <w:pPr>
              <w:pStyle w:val="NormalWeb"/>
              <w:spacing w:before="0" w:beforeAutospacing="0" w:after="0" w:afterAutospacing="0"/>
              <w:jc w:val="both"/>
              <w:rPr>
                <w:sz w:val="22"/>
                <w:szCs w:val="22"/>
              </w:rPr>
            </w:pPr>
            <w:r w:rsidRPr="00070213">
              <w:rPr>
                <w:sz w:val="22"/>
                <w:szCs w:val="22"/>
              </w:rPr>
              <w:t>Всъщност, в бележката липсва конкретно предложение, което да може да бъде взето предвид, а по-скоро – виждането на авторите за бъдещо развитие на законодателството в областта на кадастъра. То може да бъде съответно отчетено като полезно при бъдещи промени в тази област.</w:t>
            </w:r>
          </w:p>
        </w:tc>
      </w:tr>
      <w:tr w:rsidR="00B4155D" w:rsidRPr="00070213" w:rsidTr="00B35421">
        <w:tc>
          <w:tcPr>
            <w:tcW w:w="2610" w:type="dxa"/>
            <w:vMerge/>
            <w:tcBorders>
              <w:left w:val="single" w:sz="4" w:space="0" w:color="auto"/>
              <w:right w:val="single" w:sz="4" w:space="0" w:color="auto"/>
            </w:tcBorders>
            <w:shd w:val="clear" w:color="auto" w:fill="D0CECE" w:themeFill="background2" w:themeFillShade="E6"/>
          </w:tcPr>
          <w:p w:rsidR="00B4155D" w:rsidRPr="00BC2ED9" w:rsidRDefault="00B4155D" w:rsidP="00AC192C">
            <w:pPr>
              <w:jc w:val="both"/>
              <w:rPr>
                <w:b/>
                <w:sz w:val="22"/>
                <w:szCs w:val="22"/>
                <w:lang w:val="bg-BG"/>
              </w:rPr>
            </w:pPr>
          </w:p>
        </w:tc>
        <w:tc>
          <w:tcPr>
            <w:tcW w:w="6102" w:type="dxa"/>
            <w:tcBorders>
              <w:top w:val="single" w:sz="4" w:space="0" w:color="auto"/>
              <w:left w:val="single" w:sz="4" w:space="0" w:color="auto"/>
              <w:bottom w:val="single" w:sz="4" w:space="0" w:color="auto"/>
              <w:right w:val="single" w:sz="4" w:space="0" w:color="auto"/>
            </w:tcBorders>
          </w:tcPr>
          <w:p w:rsidR="00B4155D" w:rsidRPr="00BC2ED9" w:rsidRDefault="004A6686" w:rsidP="00AC192C">
            <w:pPr>
              <w:jc w:val="both"/>
              <w:rPr>
                <w:sz w:val="22"/>
                <w:szCs w:val="22"/>
                <w:lang w:val="bg-BG"/>
              </w:rPr>
            </w:pPr>
            <w:r w:rsidRPr="00070213">
              <w:rPr>
                <w:sz w:val="22"/>
                <w:szCs w:val="22"/>
                <w:lang w:val="bg-BG"/>
              </w:rPr>
              <w:t xml:space="preserve">9. В Глава втора са предвидени данни, които не са част от съдържанието на кадастралните карти и регистри. Например „граници на районите на градовете съгласно чл. 10 от Закона за административно-териториалното устройство на Република България“, „граници на жилищни комплекси“ (в неурбанизирани територии!!!), „наименованията на области, общини, кметства, райони, населени места, селищни образувания, квартали, жилищни комплекси, площади, улици, природни и исторически забележителности, местности, водни </w:t>
            </w:r>
            <w:r w:rsidRPr="00070213">
              <w:rPr>
                <w:sz w:val="22"/>
                <w:szCs w:val="22"/>
                <w:lang w:val="bg-BG"/>
              </w:rPr>
              <w:lastRenderedPageBreak/>
              <w:t>течения и водни площи, пристанища, пътища, железопътни линии и др., през които преносните мрежи преминават, а разпределителните мрежи обслужват“. Събирането на такива данни ще изисква допълнително усилия и разходи за тяхното отразяване в специализираните карти и рег</w:t>
            </w:r>
            <w:r w:rsidRPr="00394C5D">
              <w:rPr>
                <w:sz w:val="22"/>
                <w:szCs w:val="22"/>
                <w:lang w:val="bg-BG"/>
              </w:rPr>
              <w:t>истри и информационни системи. Същевременно тези данни би следвало да са част от други информационни системи, специализирани карти и регистри, което ни връща на проблема, описан в предходната точка на настоящото становище.</w:t>
            </w:r>
          </w:p>
        </w:tc>
        <w:tc>
          <w:tcPr>
            <w:tcW w:w="1543" w:type="dxa"/>
            <w:tcBorders>
              <w:top w:val="single" w:sz="4" w:space="0" w:color="auto"/>
              <w:left w:val="single" w:sz="4" w:space="0" w:color="auto"/>
              <w:bottom w:val="single" w:sz="4" w:space="0" w:color="auto"/>
              <w:right w:val="single" w:sz="4" w:space="0" w:color="auto"/>
            </w:tcBorders>
          </w:tcPr>
          <w:p w:rsidR="00B4155D" w:rsidRPr="00070213" w:rsidRDefault="00C03402" w:rsidP="00AC192C">
            <w:pPr>
              <w:ind w:right="-103"/>
              <w:jc w:val="center"/>
              <w:rPr>
                <w:color w:val="FF0000"/>
                <w:sz w:val="22"/>
                <w:szCs w:val="22"/>
                <w:lang w:val="bg-BG"/>
              </w:rPr>
            </w:pPr>
            <w:r w:rsidRPr="00070213">
              <w:rPr>
                <w:sz w:val="22"/>
                <w:szCs w:val="22"/>
                <w:lang w:val="bg-BG"/>
              </w:rPr>
              <w:lastRenderedPageBreak/>
              <w:t>Не се приема</w:t>
            </w:r>
          </w:p>
        </w:tc>
        <w:tc>
          <w:tcPr>
            <w:tcW w:w="4380" w:type="dxa"/>
            <w:tcBorders>
              <w:top w:val="single" w:sz="4" w:space="0" w:color="auto"/>
              <w:left w:val="single" w:sz="4" w:space="0" w:color="auto"/>
              <w:bottom w:val="single" w:sz="4" w:space="0" w:color="auto"/>
              <w:right w:val="single" w:sz="4" w:space="0" w:color="auto"/>
            </w:tcBorders>
          </w:tcPr>
          <w:p w:rsidR="00921F8B" w:rsidRPr="001455CC" w:rsidRDefault="00921F8B" w:rsidP="008E5354">
            <w:pPr>
              <w:pStyle w:val="NormalWeb"/>
              <w:spacing w:before="0" w:beforeAutospacing="0" w:after="0" w:afterAutospacing="0"/>
              <w:jc w:val="both"/>
              <w:rPr>
                <w:sz w:val="22"/>
                <w:szCs w:val="22"/>
              </w:rPr>
            </w:pPr>
            <w:r w:rsidRPr="00070213">
              <w:rPr>
                <w:sz w:val="22"/>
                <w:szCs w:val="22"/>
              </w:rPr>
              <w:t>Съгласно чл. 27, ал.</w:t>
            </w:r>
            <w:r w:rsidR="004555CB">
              <w:rPr>
                <w:sz w:val="22"/>
                <w:szCs w:val="22"/>
              </w:rPr>
              <w:t xml:space="preserve"> </w:t>
            </w:r>
            <w:r w:rsidRPr="00394C5D">
              <w:rPr>
                <w:sz w:val="22"/>
                <w:szCs w:val="22"/>
              </w:rPr>
              <w:t xml:space="preserve">1, т. 4 </w:t>
            </w:r>
            <w:r w:rsidR="0005293E" w:rsidRPr="00394C5D">
              <w:rPr>
                <w:sz w:val="22"/>
                <w:szCs w:val="22"/>
              </w:rPr>
              <w:t xml:space="preserve">от ЗКИР </w:t>
            </w:r>
            <w:r w:rsidRPr="00394C5D">
              <w:rPr>
                <w:sz w:val="22"/>
                <w:szCs w:val="22"/>
              </w:rPr>
              <w:t xml:space="preserve">границите на административно–териториалните единици са основни кадастрални данни. </w:t>
            </w:r>
          </w:p>
          <w:p w:rsidR="00921F8B" w:rsidRPr="000C225E" w:rsidRDefault="00921F8B" w:rsidP="008E5354">
            <w:pPr>
              <w:pStyle w:val="NormalWeb"/>
              <w:spacing w:before="0" w:beforeAutospacing="0" w:after="0" w:afterAutospacing="0"/>
              <w:jc w:val="both"/>
              <w:rPr>
                <w:sz w:val="22"/>
                <w:szCs w:val="22"/>
              </w:rPr>
            </w:pPr>
            <w:r w:rsidRPr="001455CC">
              <w:rPr>
                <w:sz w:val="22"/>
                <w:szCs w:val="22"/>
              </w:rPr>
              <w:t>Съгласно чл. 2, ал. 2 от ЗАТУРБ  кметствата и районите са съставни административно-териториални единици.</w:t>
            </w:r>
          </w:p>
          <w:p w:rsidR="00386489" w:rsidRPr="00070213" w:rsidRDefault="00921F8B" w:rsidP="00D511AA">
            <w:pPr>
              <w:pStyle w:val="NormalWeb"/>
              <w:spacing w:before="0" w:beforeAutospacing="0" w:after="0"/>
              <w:jc w:val="both"/>
              <w:rPr>
                <w:color w:val="FF0000"/>
                <w:sz w:val="22"/>
                <w:szCs w:val="22"/>
              </w:rPr>
            </w:pPr>
            <w:r w:rsidRPr="00070213">
              <w:rPr>
                <w:sz w:val="22"/>
                <w:szCs w:val="22"/>
              </w:rPr>
              <w:t xml:space="preserve">В чл. 9, ал. 2 от Наредба № РД-02-20-5 от 2016 г. за съдържанието, създаването и </w:t>
            </w:r>
            <w:r w:rsidRPr="00070213">
              <w:rPr>
                <w:sz w:val="22"/>
                <w:szCs w:val="22"/>
              </w:rPr>
              <w:lastRenderedPageBreak/>
              <w:t xml:space="preserve">поддържането на кадастралната карта и кадастралните регистри </w:t>
            </w:r>
            <w:r w:rsidR="0005293E" w:rsidRPr="00070213">
              <w:rPr>
                <w:sz w:val="22"/>
                <w:szCs w:val="22"/>
              </w:rPr>
              <w:t xml:space="preserve">(Наредба № РД-02-20-5 от 2016 г.) </w:t>
            </w:r>
            <w:r w:rsidRPr="00070213">
              <w:rPr>
                <w:sz w:val="22"/>
                <w:szCs w:val="22"/>
              </w:rPr>
              <w:t>е регламентирано границите и наименованията на</w:t>
            </w:r>
            <w:r w:rsidR="0005293E" w:rsidRPr="00070213">
              <w:rPr>
                <w:sz w:val="22"/>
                <w:szCs w:val="22"/>
              </w:rPr>
              <w:t xml:space="preserve"> </w:t>
            </w:r>
            <w:r w:rsidRPr="00070213">
              <w:rPr>
                <w:sz w:val="22"/>
                <w:szCs w:val="22"/>
              </w:rPr>
              <w:t>районите на градовете по чл. 10 от ЗАТУРБ да се изо</w:t>
            </w:r>
            <w:r w:rsidR="00386489" w:rsidRPr="00070213">
              <w:rPr>
                <w:sz w:val="22"/>
                <w:szCs w:val="22"/>
              </w:rPr>
              <w:t>б</w:t>
            </w:r>
            <w:r w:rsidRPr="00070213">
              <w:rPr>
                <w:sz w:val="22"/>
                <w:szCs w:val="22"/>
              </w:rPr>
              <w:t xml:space="preserve">разяват в кадастралната карта, така както са определени по реда на Закона за териториалното деление на Столична община и големите градове. </w:t>
            </w:r>
            <w:r w:rsidR="0005293E" w:rsidRPr="00070213">
              <w:rPr>
                <w:sz w:val="22"/>
                <w:szCs w:val="22"/>
              </w:rPr>
              <w:t>В чл. 5 от Наредба № РД-02-20-5 от 2016 г. е определено съдържанието на КККР, в което се включват и наименованията на местности, улици, площади, булеварди, квартали, жилищни комплекси; природни и исторически забележителности; водни течения и водни площи; пристанища, пътища, железопътни линии и гари; музеи, училища и други обществени сгради, както и номерата от административните адреси на поземлените имоти (чл. 5, ал. 1, т. 12).</w:t>
            </w:r>
          </w:p>
        </w:tc>
      </w:tr>
      <w:tr w:rsidR="00B4155D" w:rsidRPr="00070213" w:rsidTr="00B35421">
        <w:tc>
          <w:tcPr>
            <w:tcW w:w="2610" w:type="dxa"/>
            <w:vMerge/>
            <w:tcBorders>
              <w:left w:val="single" w:sz="4" w:space="0" w:color="auto"/>
              <w:right w:val="single" w:sz="4" w:space="0" w:color="auto"/>
            </w:tcBorders>
            <w:shd w:val="clear" w:color="auto" w:fill="D0CECE" w:themeFill="background2" w:themeFillShade="E6"/>
          </w:tcPr>
          <w:p w:rsidR="00B4155D" w:rsidRPr="00BC2ED9" w:rsidRDefault="00B4155D" w:rsidP="00AC192C">
            <w:pPr>
              <w:jc w:val="both"/>
              <w:rPr>
                <w:b/>
                <w:sz w:val="22"/>
                <w:szCs w:val="22"/>
                <w:lang w:val="bg-BG"/>
              </w:rPr>
            </w:pPr>
          </w:p>
        </w:tc>
        <w:tc>
          <w:tcPr>
            <w:tcW w:w="6102" w:type="dxa"/>
            <w:tcBorders>
              <w:top w:val="single" w:sz="4" w:space="0" w:color="auto"/>
              <w:left w:val="single" w:sz="4" w:space="0" w:color="auto"/>
              <w:bottom w:val="single" w:sz="4" w:space="0" w:color="auto"/>
              <w:right w:val="single" w:sz="4" w:space="0" w:color="auto"/>
            </w:tcBorders>
          </w:tcPr>
          <w:p w:rsidR="00B4155D" w:rsidRPr="00BC2ED9" w:rsidRDefault="004363DD" w:rsidP="00AC192C">
            <w:pPr>
              <w:jc w:val="both"/>
              <w:rPr>
                <w:sz w:val="22"/>
                <w:szCs w:val="22"/>
                <w:lang w:val="bg-BG"/>
              </w:rPr>
            </w:pPr>
            <w:r w:rsidRPr="00070213">
              <w:rPr>
                <w:sz w:val="22"/>
                <w:szCs w:val="22"/>
                <w:lang w:val="bg-BG"/>
              </w:rPr>
              <w:t>10. Напълно неразбираемо е какво налага изброяването на основните кадастрални данни в чл. 7 и още повече тяхното групиране по неясен признак в специализираните карти съответно за урбанизираната и неурбанизираната територия.</w:t>
            </w:r>
          </w:p>
        </w:tc>
        <w:tc>
          <w:tcPr>
            <w:tcW w:w="1543" w:type="dxa"/>
            <w:tcBorders>
              <w:top w:val="single" w:sz="4" w:space="0" w:color="auto"/>
              <w:left w:val="single" w:sz="4" w:space="0" w:color="auto"/>
              <w:bottom w:val="single" w:sz="4" w:space="0" w:color="auto"/>
              <w:right w:val="single" w:sz="4" w:space="0" w:color="auto"/>
            </w:tcBorders>
          </w:tcPr>
          <w:p w:rsidR="00B4155D" w:rsidRPr="00BC2ED9" w:rsidRDefault="00C51553" w:rsidP="00450745">
            <w:pPr>
              <w:ind w:right="-103"/>
              <w:jc w:val="center"/>
              <w:rPr>
                <w:sz w:val="22"/>
                <w:szCs w:val="22"/>
                <w:lang w:val="bg-BG"/>
              </w:rPr>
            </w:pPr>
            <w:r w:rsidRPr="00070213">
              <w:rPr>
                <w:sz w:val="22"/>
                <w:szCs w:val="22"/>
                <w:lang w:val="bg-BG"/>
              </w:rPr>
              <w:t>Не се приема</w:t>
            </w:r>
          </w:p>
        </w:tc>
        <w:tc>
          <w:tcPr>
            <w:tcW w:w="4380" w:type="dxa"/>
            <w:tcBorders>
              <w:top w:val="single" w:sz="4" w:space="0" w:color="auto"/>
              <w:left w:val="single" w:sz="4" w:space="0" w:color="auto"/>
              <w:bottom w:val="single" w:sz="4" w:space="0" w:color="auto"/>
              <w:right w:val="single" w:sz="4" w:space="0" w:color="auto"/>
            </w:tcBorders>
          </w:tcPr>
          <w:p w:rsidR="00B4155D" w:rsidRPr="00BC2ED9" w:rsidRDefault="00C51553" w:rsidP="00AC192C">
            <w:pPr>
              <w:pStyle w:val="NormalWeb"/>
              <w:spacing w:before="0" w:beforeAutospacing="0" w:after="0" w:afterAutospacing="0"/>
              <w:jc w:val="both"/>
              <w:rPr>
                <w:sz w:val="22"/>
                <w:szCs w:val="22"/>
              </w:rPr>
            </w:pPr>
            <w:r w:rsidRPr="00070213">
              <w:rPr>
                <w:sz w:val="22"/>
                <w:szCs w:val="22"/>
              </w:rPr>
              <w:t>Разпоредбата е включена от съображения за пълнота на разглежданата правна уредба.</w:t>
            </w:r>
          </w:p>
        </w:tc>
      </w:tr>
      <w:tr w:rsidR="00B4155D" w:rsidRPr="00070213" w:rsidTr="00B35421">
        <w:tc>
          <w:tcPr>
            <w:tcW w:w="2610" w:type="dxa"/>
            <w:vMerge/>
            <w:tcBorders>
              <w:left w:val="single" w:sz="4" w:space="0" w:color="auto"/>
              <w:right w:val="single" w:sz="4" w:space="0" w:color="auto"/>
            </w:tcBorders>
            <w:shd w:val="clear" w:color="auto" w:fill="D0CECE" w:themeFill="background2" w:themeFillShade="E6"/>
          </w:tcPr>
          <w:p w:rsidR="00B4155D" w:rsidRPr="00BC2ED9" w:rsidRDefault="00B4155D" w:rsidP="00AC192C">
            <w:pPr>
              <w:jc w:val="both"/>
              <w:rPr>
                <w:b/>
                <w:sz w:val="22"/>
                <w:szCs w:val="22"/>
                <w:lang w:val="bg-BG"/>
              </w:rPr>
            </w:pPr>
          </w:p>
        </w:tc>
        <w:tc>
          <w:tcPr>
            <w:tcW w:w="6102" w:type="dxa"/>
            <w:tcBorders>
              <w:top w:val="single" w:sz="4" w:space="0" w:color="auto"/>
              <w:left w:val="single" w:sz="4" w:space="0" w:color="auto"/>
              <w:bottom w:val="single" w:sz="4" w:space="0" w:color="auto"/>
              <w:right w:val="single" w:sz="4" w:space="0" w:color="auto"/>
            </w:tcBorders>
          </w:tcPr>
          <w:p w:rsidR="00B4155D" w:rsidRPr="00BC2ED9" w:rsidRDefault="004363DD" w:rsidP="00AC192C">
            <w:pPr>
              <w:jc w:val="both"/>
              <w:rPr>
                <w:sz w:val="22"/>
                <w:szCs w:val="22"/>
                <w:lang w:val="bg-BG"/>
              </w:rPr>
            </w:pPr>
            <w:r w:rsidRPr="00070213">
              <w:rPr>
                <w:sz w:val="22"/>
                <w:szCs w:val="22"/>
                <w:lang w:val="bg-BG"/>
              </w:rPr>
              <w:t xml:space="preserve">11. В чл. 8 (2) се споменават „паспортни данни“ в „цифров вид и таблична форма“, което напомня за съществуващото и сега изискване за създаване на паспорти на шахти на подземни проводи и съоръжения. Никъде в проекта за наредба обаче не са уточнени формата и съдържанието на такива паспорти, с което текста на чл. 8. (2) остава твърде неясен и пожелателен. Това е съществен пропуск в предложената наредба и отстъпление от добрите практики, установени с действащата подзаконова нормативна уредба, макар и стара (Инструкция и условни знаци за изработване и поддържане на планове на подземни проводи и съоръжения, Издадена от Министерството </w:t>
            </w:r>
            <w:r w:rsidRPr="00070213">
              <w:rPr>
                <w:sz w:val="22"/>
                <w:szCs w:val="22"/>
                <w:lang w:val="bg-BG"/>
              </w:rPr>
              <w:lastRenderedPageBreak/>
              <w:t>на строителството и селищното устройство - Главно управление по геодезия, картография и кадастър през 1984 г.).</w:t>
            </w:r>
          </w:p>
        </w:tc>
        <w:tc>
          <w:tcPr>
            <w:tcW w:w="1543" w:type="dxa"/>
            <w:tcBorders>
              <w:top w:val="single" w:sz="4" w:space="0" w:color="auto"/>
              <w:left w:val="single" w:sz="4" w:space="0" w:color="auto"/>
              <w:bottom w:val="single" w:sz="4" w:space="0" w:color="auto"/>
              <w:right w:val="single" w:sz="4" w:space="0" w:color="auto"/>
            </w:tcBorders>
          </w:tcPr>
          <w:p w:rsidR="00B4155D" w:rsidRPr="00070213" w:rsidRDefault="003F0DDB" w:rsidP="00AC192C">
            <w:pPr>
              <w:ind w:right="-103"/>
              <w:jc w:val="center"/>
              <w:rPr>
                <w:sz w:val="22"/>
                <w:szCs w:val="22"/>
                <w:lang w:val="bg-BG"/>
              </w:rPr>
            </w:pPr>
            <w:r w:rsidRPr="00070213">
              <w:rPr>
                <w:sz w:val="22"/>
                <w:szCs w:val="22"/>
                <w:lang w:val="bg-BG"/>
              </w:rPr>
              <w:lastRenderedPageBreak/>
              <w:t>Не се приема</w:t>
            </w:r>
          </w:p>
        </w:tc>
        <w:tc>
          <w:tcPr>
            <w:tcW w:w="4380" w:type="dxa"/>
            <w:tcBorders>
              <w:top w:val="single" w:sz="4" w:space="0" w:color="auto"/>
              <w:left w:val="single" w:sz="4" w:space="0" w:color="auto"/>
              <w:bottom w:val="single" w:sz="4" w:space="0" w:color="auto"/>
              <w:right w:val="single" w:sz="4" w:space="0" w:color="auto"/>
            </w:tcBorders>
          </w:tcPr>
          <w:p w:rsidR="00B4155D" w:rsidRPr="00070213" w:rsidRDefault="003F0DDB" w:rsidP="00E648F4">
            <w:pPr>
              <w:pStyle w:val="NormalWeb"/>
              <w:spacing w:before="0" w:beforeAutospacing="0" w:after="0" w:afterAutospacing="0"/>
              <w:jc w:val="both"/>
              <w:rPr>
                <w:sz w:val="22"/>
                <w:szCs w:val="22"/>
              </w:rPr>
            </w:pPr>
            <w:r w:rsidRPr="00070213">
              <w:rPr>
                <w:sz w:val="22"/>
                <w:szCs w:val="22"/>
              </w:rPr>
              <w:t xml:space="preserve">Действащата към момента Наредба № 18 от 3.06.2005 г. за съдържанието, условията и реда за създаване и поддържане на специализираните карти и регистри за изградената от оператори далекосъобщителна инфраструктура и понастоящем съдържа </w:t>
            </w:r>
            <w:r w:rsidR="000F7BE2" w:rsidRPr="00070213">
              <w:rPr>
                <w:sz w:val="22"/>
                <w:szCs w:val="22"/>
              </w:rPr>
              <w:t>изискване за съхраняван</w:t>
            </w:r>
            <w:r w:rsidR="000F7BE2" w:rsidRPr="00394C5D">
              <w:rPr>
                <w:sz w:val="22"/>
                <w:szCs w:val="22"/>
              </w:rPr>
              <w:t>е на паспортни данни в цифров вид и таблична форма</w:t>
            </w:r>
            <w:r w:rsidRPr="001455CC">
              <w:rPr>
                <w:sz w:val="22"/>
                <w:szCs w:val="22"/>
              </w:rPr>
              <w:t xml:space="preserve"> (</w:t>
            </w:r>
            <w:r w:rsidR="000F7BE2" w:rsidRPr="001455CC">
              <w:rPr>
                <w:sz w:val="22"/>
                <w:szCs w:val="22"/>
              </w:rPr>
              <w:t>вж. чл. 9, ал. 2)</w:t>
            </w:r>
            <w:r w:rsidRPr="001455CC">
              <w:rPr>
                <w:sz w:val="22"/>
                <w:szCs w:val="22"/>
              </w:rPr>
              <w:t xml:space="preserve"> и </w:t>
            </w:r>
            <w:r w:rsidR="00E648F4" w:rsidRPr="001455CC">
              <w:rPr>
                <w:sz w:val="22"/>
                <w:szCs w:val="22"/>
              </w:rPr>
              <w:t>до</w:t>
            </w:r>
            <w:r w:rsidR="000F7BE2" w:rsidRPr="001455CC">
              <w:rPr>
                <w:sz w:val="22"/>
                <w:szCs w:val="22"/>
              </w:rPr>
              <w:t xml:space="preserve"> момента </w:t>
            </w:r>
            <w:r w:rsidRPr="001455CC">
              <w:rPr>
                <w:sz w:val="22"/>
                <w:szCs w:val="22"/>
              </w:rPr>
              <w:t xml:space="preserve">се прилага успешно. </w:t>
            </w:r>
            <w:r w:rsidR="000F7BE2" w:rsidRPr="000C225E">
              <w:rPr>
                <w:sz w:val="22"/>
                <w:szCs w:val="22"/>
              </w:rPr>
              <w:t xml:space="preserve">На следващо място, в </w:t>
            </w:r>
            <w:r w:rsidRPr="000C225E">
              <w:rPr>
                <w:sz w:val="22"/>
                <w:szCs w:val="22"/>
              </w:rPr>
              <w:t xml:space="preserve">чл. 8, ал. 2 </w:t>
            </w:r>
            <w:r w:rsidR="000F7BE2" w:rsidRPr="00070213">
              <w:rPr>
                <w:sz w:val="22"/>
                <w:szCs w:val="22"/>
              </w:rPr>
              <w:t>от проект</w:t>
            </w:r>
            <w:r w:rsidR="00E648F4" w:rsidRPr="00070213">
              <w:rPr>
                <w:sz w:val="22"/>
                <w:szCs w:val="22"/>
              </w:rPr>
              <w:t>а</w:t>
            </w:r>
            <w:r w:rsidR="000F7BE2" w:rsidRPr="00070213">
              <w:rPr>
                <w:sz w:val="22"/>
                <w:szCs w:val="22"/>
              </w:rPr>
              <w:t xml:space="preserve"> на наредба е </w:t>
            </w:r>
            <w:r w:rsidR="000F7BE2" w:rsidRPr="00070213">
              <w:rPr>
                <w:sz w:val="22"/>
                <w:szCs w:val="22"/>
              </w:rPr>
              <w:lastRenderedPageBreak/>
              <w:t>уточнено, че паспортните данни включват единни кодови номера, графични и цифрови данни</w:t>
            </w:r>
            <w:r w:rsidR="00E648F4" w:rsidRPr="00070213">
              <w:rPr>
                <w:sz w:val="22"/>
                <w:szCs w:val="22"/>
              </w:rPr>
              <w:t>. Считаме, че изискването в чл. 8, ал. 2 е напълно ясно и по никакъв начин не може да се определи като „отстъпление от добрите практики, установени с действащата подзаконова нормативна уредба“.</w:t>
            </w:r>
          </w:p>
        </w:tc>
      </w:tr>
      <w:tr w:rsidR="00B4155D" w:rsidRPr="00070213" w:rsidTr="00B35421">
        <w:tc>
          <w:tcPr>
            <w:tcW w:w="2610" w:type="dxa"/>
            <w:vMerge/>
            <w:tcBorders>
              <w:left w:val="single" w:sz="4" w:space="0" w:color="auto"/>
              <w:right w:val="single" w:sz="4" w:space="0" w:color="auto"/>
            </w:tcBorders>
            <w:shd w:val="clear" w:color="auto" w:fill="D0CECE" w:themeFill="background2" w:themeFillShade="E6"/>
          </w:tcPr>
          <w:p w:rsidR="00B4155D" w:rsidRPr="00BC2ED9" w:rsidRDefault="00B4155D" w:rsidP="00AC192C">
            <w:pPr>
              <w:jc w:val="both"/>
              <w:rPr>
                <w:b/>
                <w:sz w:val="22"/>
                <w:szCs w:val="22"/>
                <w:lang w:val="bg-BG"/>
              </w:rPr>
            </w:pPr>
          </w:p>
        </w:tc>
        <w:tc>
          <w:tcPr>
            <w:tcW w:w="6102" w:type="dxa"/>
            <w:tcBorders>
              <w:top w:val="single" w:sz="4" w:space="0" w:color="auto"/>
              <w:left w:val="single" w:sz="4" w:space="0" w:color="auto"/>
              <w:bottom w:val="single" w:sz="4" w:space="0" w:color="auto"/>
              <w:right w:val="single" w:sz="4" w:space="0" w:color="auto"/>
            </w:tcBorders>
          </w:tcPr>
          <w:p w:rsidR="00B4155D" w:rsidRPr="00BC2ED9" w:rsidRDefault="004363DD" w:rsidP="00AC192C">
            <w:pPr>
              <w:jc w:val="both"/>
              <w:rPr>
                <w:sz w:val="22"/>
                <w:szCs w:val="22"/>
                <w:lang w:val="bg-BG"/>
              </w:rPr>
            </w:pPr>
            <w:r w:rsidRPr="00070213">
              <w:rPr>
                <w:sz w:val="22"/>
                <w:szCs w:val="22"/>
                <w:lang w:val="bg-BG"/>
              </w:rPr>
              <w:t>12. Текстът на чл. 9 (1) издава пълно неразбиране на геодезически основополагащи норми, като обвързва точността на специализираните карти с Наредба № РД-02-20-5 от 15.12.2016 г. за съдържанието, създаването и поддържането на кадастралната карта и кадастралните регистри. При описаните значителен брой елементи на специализираните карти е тотално неприложимо и неадекватно да се говори за същата точност на отразяване, както за материализирани и нематериализирани имотни граници. Елементите от електронните съобщителни мрежи, съоръжения и свързаната с тях физическа инфраструктура с</w:t>
            </w:r>
            <w:r w:rsidRPr="00394C5D">
              <w:rPr>
                <w:sz w:val="22"/>
                <w:szCs w:val="22"/>
                <w:lang w:val="bg-BG"/>
              </w:rPr>
              <w:t>а значително по-ясно дефинирани в реалната тримерна действителност, което налага и по-висока точност при тяхното определяне в пространството, да не говорим за липсата на изисквания за точност по височина в цитираната Наредба № РД-02-20-5 от 15.12.2016 г.</w:t>
            </w:r>
          </w:p>
        </w:tc>
        <w:tc>
          <w:tcPr>
            <w:tcW w:w="1543" w:type="dxa"/>
            <w:tcBorders>
              <w:top w:val="single" w:sz="4" w:space="0" w:color="auto"/>
              <w:left w:val="single" w:sz="4" w:space="0" w:color="auto"/>
              <w:bottom w:val="single" w:sz="4" w:space="0" w:color="auto"/>
              <w:right w:val="single" w:sz="4" w:space="0" w:color="auto"/>
            </w:tcBorders>
          </w:tcPr>
          <w:p w:rsidR="00B4155D" w:rsidRPr="00BC2ED9" w:rsidRDefault="00BF461D" w:rsidP="00BF461D">
            <w:pPr>
              <w:ind w:right="-103"/>
              <w:jc w:val="center"/>
              <w:rPr>
                <w:color w:val="FF0000"/>
                <w:sz w:val="22"/>
                <w:szCs w:val="22"/>
                <w:lang w:val="bg-BG"/>
              </w:rPr>
            </w:pPr>
            <w:r w:rsidRPr="00070213">
              <w:rPr>
                <w:sz w:val="22"/>
                <w:szCs w:val="22"/>
                <w:lang w:val="bg-BG"/>
              </w:rPr>
              <w:t>Не се приема</w:t>
            </w:r>
          </w:p>
        </w:tc>
        <w:tc>
          <w:tcPr>
            <w:tcW w:w="4380" w:type="dxa"/>
            <w:tcBorders>
              <w:top w:val="single" w:sz="4" w:space="0" w:color="auto"/>
              <w:left w:val="single" w:sz="4" w:space="0" w:color="auto"/>
              <w:bottom w:val="single" w:sz="4" w:space="0" w:color="auto"/>
              <w:right w:val="single" w:sz="4" w:space="0" w:color="auto"/>
            </w:tcBorders>
          </w:tcPr>
          <w:p w:rsidR="00B4155D" w:rsidRPr="00BC2ED9" w:rsidRDefault="00A406BC" w:rsidP="00BF461D">
            <w:pPr>
              <w:pStyle w:val="NormalWeb"/>
              <w:spacing w:before="0" w:beforeAutospacing="0" w:after="0" w:afterAutospacing="0"/>
              <w:jc w:val="both"/>
              <w:rPr>
                <w:sz w:val="22"/>
                <w:szCs w:val="22"/>
              </w:rPr>
            </w:pPr>
            <w:r w:rsidRPr="00070213">
              <w:rPr>
                <w:sz w:val="22"/>
                <w:szCs w:val="22"/>
              </w:rPr>
              <w:t xml:space="preserve">Специализираните карти се изработват на основата на кадастралната карта, поради което </w:t>
            </w:r>
            <w:r w:rsidR="00BF461D" w:rsidRPr="00070213">
              <w:rPr>
                <w:sz w:val="22"/>
                <w:szCs w:val="22"/>
              </w:rPr>
              <w:t>п</w:t>
            </w:r>
            <w:r w:rsidRPr="00070213">
              <w:rPr>
                <w:sz w:val="22"/>
                <w:szCs w:val="22"/>
              </w:rPr>
              <w:t>ри създаване на специализиран</w:t>
            </w:r>
            <w:r w:rsidR="00BF461D" w:rsidRPr="00070213">
              <w:rPr>
                <w:sz w:val="22"/>
                <w:szCs w:val="22"/>
              </w:rPr>
              <w:t xml:space="preserve">ите карти </w:t>
            </w:r>
            <w:r w:rsidRPr="00070213">
              <w:rPr>
                <w:sz w:val="22"/>
                <w:szCs w:val="22"/>
              </w:rPr>
              <w:t xml:space="preserve">следва се използват точностите, определени </w:t>
            </w:r>
            <w:r w:rsidR="00BF461D" w:rsidRPr="00394C5D">
              <w:rPr>
                <w:sz w:val="22"/>
                <w:szCs w:val="22"/>
              </w:rPr>
              <w:t xml:space="preserve">в </w:t>
            </w:r>
            <w:r w:rsidRPr="00394C5D">
              <w:rPr>
                <w:sz w:val="22"/>
                <w:szCs w:val="22"/>
              </w:rPr>
              <w:t>чл. 18, ал. 4, т. 1, буква „а“ от Наредба</w:t>
            </w:r>
            <w:r w:rsidR="00BF461D" w:rsidRPr="00394C5D">
              <w:rPr>
                <w:sz w:val="22"/>
                <w:szCs w:val="22"/>
              </w:rPr>
              <w:t xml:space="preserve"> № Р</w:t>
            </w:r>
            <w:r w:rsidR="00BF461D" w:rsidRPr="001455CC">
              <w:rPr>
                <w:sz w:val="22"/>
                <w:szCs w:val="22"/>
                <w:lang w:val="en-GB"/>
              </w:rPr>
              <w:t>Д-02-20-5 от 2016 г</w:t>
            </w:r>
            <w:r w:rsidR="00BF461D" w:rsidRPr="001455CC">
              <w:rPr>
                <w:sz w:val="22"/>
                <w:szCs w:val="22"/>
              </w:rPr>
              <w:t>.</w:t>
            </w:r>
          </w:p>
        </w:tc>
      </w:tr>
      <w:tr w:rsidR="00B4155D" w:rsidRPr="00070213" w:rsidTr="00B35421">
        <w:tc>
          <w:tcPr>
            <w:tcW w:w="2610" w:type="dxa"/>
            <w:vMerge/>
            <w:tcBorders>
              <w:left w:val="single" w:sz="4" w:space="0" w:color="auto"/>
              <w:right w:val="single" w:sz="4" w:space="0" w:color="auto"/>
            </w:tcBorders>
            <w:shd w:val="clear" w:color="auto" w:fill="D0CECE" w:themeFill="background2" w:themeFillShade="E6"/>
          </w:tcPr>
          <w:p w:rsidR="00B4155D" w:rsidRPr="00BC2ED9" w:rsidRDefault="00B4155D" w:rsidP="00AC192C">
            <w:pPr>
              <w:jc w:val="both"/>
              <w:rPr>
                <w:b/>
                <w:sz w:val="22"/>
                <w:szCs w:val="22"/>
                <w:lang w:val="bg-BG"/>
              </w:rPr>
            </w:pPr>
          </w:p>
        </w:tc>
        <w:tc>
          <w:tcPr>
            <w:tcW w:w="6102" w:type="dxa"/>
            <w:tcBorders>
              <w:top w:val="single" w:sz="4" w:space="0" w:color="auto"/>
              <w:left w:val="single" w:sz="4" w:space="0" w:color="auto"/>
              <w:bottom w:val="single" w:sz="4" w:space="0" w:color="auto"/>
              <w:right w:val="single" w:sz="4" w:space="0" w:color="auto"/>
            </w:tcBorders>
          </w:tcPr>
          <w:p w:rsidR="00B4155D" w:rsidRPr="00BC2ED9" w:rsidRDefault="00792993" w:rsidP="00AC192C">
            <w:pPr>
              <w:jc w:val="both"/>
              <w:rPr>
                <w:sz w:val="22"/>
                <w:szCs w:val="22"/>
                <w:lang w:val="bg-BG"/>
              </w:rPr>
            </w:pPr>
            <w:r w:rsidRPr="00070213">
              <w:rPr>
                <w:sz w:val="22"/>
                <w:szCs w:val="22"/>
                <w:lang w:val="bg-BG"/>
              </w:rPr>
              <w:t>13. В ал (2) на чл.9 се казва, че специализираните карти в цифров вид ще се изработват във формата по чл. 12, т. 5 от ЗКИР. Това е поредното неразбиране на предназначението на КККР и специализираните карти. Обема, съдържанието, точността и предназначението на специализираните карти изисква и нов формат за данни.</w:t>
            </w:r>
          </w:p>
        </w:tc>
        <w:tc>
          <w:tcPr>
            <w:tcW w:w="1543" w:type="dxa"/>
            <w:tcBorders>
              <w:top w:val="single" w:sz="4" w:space="0" w:color="auto"/>
              <w:left w:val="single" w:sz="4" w:space="0" w:color="auto"/>
              <w:bottom w:val="single" w:sz="4" w:space="0" w:color="auto"/>
              <w:right w:val="single" w:sz="4" w:space="0" w:color="auto"/>
            </w:tcBorders>
          </w:tcPr>
          <w:p w:rsidR="00B4155D" w:rsidRPr="00BC2ED9" w:rsidRDefault="00F45D79" w:rsidP="00DE3FAF">
            <w:pPr>
              <w:ind w:right="-51"/>
              <w:jc w:val="center"/>
              <w:rPr>
                <w:sz w:val="22"/>
                <w:szCs w:val="22"/>
                <w:lang w:val="bg-BG"/>
              </w:rPr>
            </w:pPr>
            <w:r>
              <w:rPr>
                <w:sz w:val="22"/>
                <w:szCs w:val="22"/>
                <w:lang w:val="bg-BG"/>
              </w:rPr>
              <w:t>Приема се по принцип</w:t>
            </w:r>
          </w:p>
        </w:tc>
        <w:tc>
          <w:tcPr>
            <w:tcW w:w="4380" w:type="dxa"/>
            <w:tcBorders>
              <w:top w:val="single" w:sz="4" w:space="0" w:color="auto"/>
              <w:left w:val="single" w:sz="4" w:space="0" w:color="auto"/>
              <w:bottom w:val="single" w:sz="4" w:space="0" w:color="auto"/>
              <w:right w:val="single" w:sz="4" w:space="0" w:color="auto"/>
            </w:tcBorders>
          </w:tcPr>
          <w:p w:rsidR="00C51553" w:rsidRPr="00BC2ED9" w:rsidRDefault="00C51553" w:rsidP="00AC192C">
            <w:pPr>
              <w:jc w:val="both"/>
              <w:rPr>
                <w:sz w:val="22"/>
                <w:szCs w:val="22"/>
                <w:lang w:val="bg-BG"/>
              </w:rPr>
            </w:pPr>
            <w:r w:rsidRPr="00070213">
              <w:rPr>
                <w:sz w:val="22"/>
                <w:szCs w:val="22"/>
                <w:lang w:val="bg-BG"/>
              </w:rPr>
              <w:t>Към момента сме обвързани от този формат по силата на често цитирания в становището чл. 32 от ЗКИР и по-специално, ал. 5 от него, която предвижда „Специализираните карти, регистри и информационни системи се изработват и поддържат въз основа на данните от кадастъра и във формата на записа по чл. 12, т. 5.“.</w:t>
            </w:r>
          </w:p>
        </w:tc>
      </w:tr>
      <w:tr w:rsidR="00B4155D" w:rsidRPr="00070213" w:rsidTr="00B35421">
        <w:tc>
          <w:tcPr>
            <w:tcW w:w="2610" w:type="dxa"/>
            <w:vMerge/>
            <w:tcBorders>
              <w:left w:val="single" w:sz="4" w:space="0" w:color="auto"/>
              <w:right w:val="single" w:sz="4" w:space="0" w:color="auto"/>
            </w:tcBorders>
            <w:shd w:val="clear" w:color="auto" w:fill="D0CECE" w:themeFill="background2" w:themeFillShade="E6"/>
          </w:tcPr>
          <w:p w:rsidR="00B4155D" w:rsidRPr="00BC2ED9" w:rsidRDefault="00B4155D" w:rsidP="00AC192C">
            <w:pPr>
              <w:jc w:val="both"/>
              <w:rPr>
                <w:b/>
                <w:sz w:val="22"/>
                <w:szCs w:val="22"/>
                <w:lang w:val="bg-BG"/>
              </w:rPr>
            </w:pPr>
          </w:p>
        </w:tc>
        <w:tc>
          <w:tcPr>
            <w:tcW w:w="6102" w:type="dxa"/>
            <w:tcBorders>
              <w:top w:val="single" w:sz="4" w:space="0" w:color="auto"/>
              <w:left w:val="single" w:sz="4" w:space="0" w:color="auto"/>
              <w:bottom w:val="single" w:sz="4" w:space="0" w:color="auto"/>
              <w:right w:val="single" w:sz="4" w:space="0" w:color="auto"/>
            </w:tcBorders>
          </w:tcPr>
          <w:p w:rsidR="00B4155D" w:rsidRPr="00BC2ED9" w:rsidRDefault="00792993" w:rsidP="00AC192C">
            <w:pPr>
              <w:jc w:val="both"/>
              <w:rPr>
                <w:sz w:val="22"/>
                <w:szCs w:val="22"/>
                <w:lang w:val="bg-BG"/>
              </w:rPr>
            </w:pPr>
            <w:r w:rsidRPr="00070213">
              <w:rPr>
                <w:sz w:val="22"/>
                <w:szCs w:val="22"/>
                <w:lang w:val="bg-BG"/>
              </w:rPr>
              <w:t xml:space="preserve">14. В Раздел II на Глава втора, определящ съдържанието на специализираните регистри, са предвидени редица данни, които по същество са географски, а не атрибутни – местоположение (територия); начало и край на мрежата; </w:t>
            </w:r>
            <w:r w:rsidRPr="00070213">
              <w:rPr>
                <w:sz w:val="22"/>
                <w:szCs w:val="22"/>
                <w:lang w:val="bg-BG"/>
              </w:rPr>
              <w:lastRenderedPageBreak/>
              <w:t>отклонения; местоположение на напречните профили на съобщителните кабели; координатите „x“, „y“ и „h“ на точките, определящи съобщителните кабели. Това издава непозна</w:t>
            </w:r>
            <w:r w:rsidRPr="00394C5D">
              <w:rPr>
                <w:sz w:val="22"/>
                <w:szCs w:val="22"/>
                <w:lang w:val="bg-BG"/>
              </w:rPr>
              <w:t xml:space="preserve">ване на основни принципи при проектирането и създаването на географски бази данни, при което според текста се налага в регистрите в описателен текстов вид да се дублира пространствена информация, съдържаща се в графичната част от географската база данни. Освен чисто теоретичната сбърканост на такава концепция тя налага и практическата несъстоятелност на съдържанието и формата на регистрите, предвидени в Приложение № 2. Дали някой „експерт“ от авторите на предложеният текст би могъл да си представи например </w:t>
            </w:r>
            <w:r w:rsidRPr="001455CC">
              <w:rPr>
                <w:sz w:val="22"/>
                <w:szCs w:val="22"/>
                <w:lang w:val="bg-BG"/>
              </w:rPr>
              <w:t>как в графите „Координати (x, y и h) на точките, определящи мрежата“ на предложените регистри ще се попълват данни за няколко стотин точки, определящи чупките на един съобщителен кабел?!? Каква ще е ползата от тези данни в текстов вид? Изказваме мнение, че съдържанието на специализираните регистри следва да се прецизира и опрости в значителна степен така, че да съдържат наистина само атрибутивна (описателна) информация.</w:t>
            </w:r>
          </w:p>
        </w:tc>
        <w:tc>
          <w:tcPr>
            <w:tcW w:w="1543" w:type="dxa"/>
            <w:tcBorders>
              <w:top w:val="single" w:sz="4" w:space="0" w:color="auto"/>
              <w:left w:val="single" w:sz="4" w:space="0" w:color="auto"/>
              <w:bottom w:val="single" w:sz="4" w:space="0" w:color="auto"/>
              <w:right w:val="single" w:sz="4" w:space="0" w:color="auto"/>
            </w:tcBorders>
          </w:tcPr>
          <w:p w:rsidR="00B4155D" w:rsidRPr="00BC2ED9" w:rsidRDefault="00935CA7" w:rsidP="00AC192C">
            <w:pPr>
              <w:ind w:right="-103"/>
              <w:jc w:val="center"/>
              <w:rPr>
                <w:sz w:val="22"/>
                <w:szCs w:val="22"/>
                <w:highlight w:val="yellow"/>
                <w:lang w:val="bg-BG"/>
              </w:rPr>
            </w:pPr>
            <w:r w:rsidRPr="00BC2ED9">
              <w:rPr>
                <w:sz w:val="22"/>
                <w:szCs w:val="22"/>
                <w:lang w:val="bg-BG"/>
              </w:rPr>
              <w:lastRenderedPageBreak/>
              <w:t>Приема се</w:t>
            </w:r>
          </w:p>
        </w:tc>
        <w:tc>
          <w:tcPr>
            <w:tcW w:w="4380" w:type="dxa"/>
            <w:tcBorders>
              <w:top w:val="single" w:sz="4" w:space="0" w:color="auto"/>
              <w:left w:val="single" w:sz="4" w:space="0" w:color="auto"/>
              <w:bottom w:val="single" w:sz="4" w:space="0" w:color="auto"/>
              <w:right w:val="single" w:sz="4" w:space="0" w:color="auto"/>
            </w:tcBorders>
          </w:tcPr>
          <w:p w:rsidR="00DA7103" w:rsidRPr="0072773A" w:rsidRDefault="0070522C" w:rsidP="0070522C">
            <w:pPr>
              <w:pStyle w:val="CommentText"/>
              <w:jc w:val="both"/>
              <w:rPr>
                <w:sz w:val="22"/>
                <w:szCs w:val="22"/>
                <w:lang w:val="bg-BG"/>
              </w:rPr>
            </w:pPr>
            <w:r w:rsidRPr="00BC2ED9">
              <w:rPr>
                <w:sz w:val="22"/>
                <w:szCs w:val="22"/>
                <w:lang w:val="bg-BG"/>
              </w:rPr>
              <w:t>С</w:t>
            </w:r>
            <w:r w:rsidR="00DA7103" w:rsidRPr="00BC2ED9">
              <w:rPr>
                <w:sz w:val="22"/>
                <w:szCs w:val="22"/>
                <w:lang w:val="bg-BG"/>
              </w:rPr>
              <w:t xml:space="preserve">ъдържанието на </w:t>
            </w:r>
            <w:r w:rsidRPr="00BC2ED9">
              <w:rPr>
                <w:sz w:val="22"/>
                <w:szCs w:val="22"/>
                <w:lang w:val="bg-BG"/>
              </w:rPr>
              <w:t>таблиц</w:t>
            </w:r>
            <w:r w:rsidR="0072773A">
              <w:rPr>
                <w:sz w:val="22"/>
                <w:szCs w:val="22"/>
                <w:lang w:val="bg-BG"/>
              </w:rPr>
              <w:t>ите</w:t>
            </w:r>
            <w:r w:rsidR="00DA7103" w:rsidRPr="0072773A">
              <w:rPr>
                <w:sz w:val="22"/>
                <w:szCs w:val="22"/>
                <w:lang w:val="bg-BG"/>
              </w:rPr>
              <w:t xml:space="preserve"> към Приложение № 2, </w:t>
            </w:r>
            <w:r w:rsidRPr="0072773A">
              <w:rPr>
                <w:sz w:val="22"/>
                <w:szCs w:val="22"/>
                <w:lang w:val="bg-BG"/>
              </w:rPr>
              <w:t xml:space="preserve">е редактирано, </w:t>
            </w:r>
            <w:r w:rsidR="00DA7103" w:rsidRPr="0072773A">
              <w:rPr>
                <w:sz w:val="22"/>
                <w:szCs w:val="22"/>
                <w:lang w:val="bg-BG"/>
              </w:rPr>
              <w:t>като отпаднат цитираните в бележката данни.</w:t>
            </w:r>
          </w:p>
          <w:p w:rsidR="00935CA7" w:rsidRPr="00BC2ED9" w:rsidRDefault="00935CA7" w:rsidP="00935CA7">
            <w:pPr>
              <w:widowControl w:val="0"/>
              <w:tabs>
                <w:tab w:val="left" w:pos="851"/>
                <w:tab w:val="left" w:pos="993"/>
              </w:tabs>
              <w:autoSpaceDE w:val="0"/>
              <w:autoSpaceDN w:val="0"/>
              <w:adjustRightInd w:val="0"/>
              <w:jc w:val="both"/>
              <w:rPr>
                <w:sz w:val="22"/>
                <w:szCs w:val="22"/>
                <w:highlight w:val="yellow"/>
                <w:lang w:val="bg-BG"/>
              </w:rPr>
            </w:pPr>
          </w:p>
        </w:tc>
      </w:tr>
      <w:tr w:rsidR="00B4155D" w:rsidRPr="00070213" w:rsidTr="00B35421">
        <w:tc>
          <w:tcPr>
            <w:tcW w:w="2610" w:type="dxa"/>
            <w:vMerge/>
            <w:tcBorders>
              <w:left w:val="single" w:sz="4" w:space="0" w:color="auto"/>
              <w:right w:val="single" w:sz="4" w:space="0" w:color="auto"/>
            </w:tcBorders>
            <w:shd w:val="clear" w:color="auto" w:fill="D0CECE" w:themeFill="background2" w:themeFillShade="E6"/>
          </w:tcPr>
          <w:p w:rsidR="00B4155D" w:rsidRPr="00BC2ED9" w:rsidRDefault="00B4155D" w:rsidP="00AC192C">
            <w:pPr>
              <w:jc w:val="both"/>
              <w:rPr>
                <w:b/>
                <w:sz w:val="22"/>
                <w:szCs w:val="22"/>
                <w:lang w:val="bg-BG"/>
              </w:rPr>
            </w:pPr>
          </w:p>
        </w:tc>
        <w:tc>
          <w:tcPr>
            <w:tcW w:w="6102" w:type="dxa"/>
            <w:tcBorders>
              <w:top w:val="single" w:sz="4" w:space="0" w:color="auto"/>
              <w:left w:val="single" w:sz="4" w:space="0" w:color="auto"/>
              <w:bottom w:val="single" w:sz="4" w:space="0" w:color="auto"/>
              <w:right w:val="single" w:sz="4" w:space="0" w:color="auto"/>
            </w:tcBorders>
          </w:tcPr>
          <w:p w:rsidR="00B4155D" w:rsidRPr="00BC2ED9" w:rsidRDefault="00A00CB3" w:rsidP="00AC192C">
            <w:pPr>
              <w:jc w:val="both"/>
              <w:rPr>
                <w:sz w:val="22"/>
                <w:szCs w:val="22"/>
                <w:lang w:val="bg-BG"/>
              </w:rPr>
            </w:pPr>
            <w:r w:rsidRPr="00070213">
              <w:rPr>
                <w:sz w:val="22"/>
                <w:szCs w:val="22"/>
                <w:lang w:val="bg-BG"/>
              </w:rPr>
              <w:t>15. В чл. 13 (1) следва да се постави и изискване в състава, на правоспособните лица по ЗКИР да има поне 1 инженер по електронни съобщителни мрежи и съоръжения с пълна проектантска правоспособност от КИИП.</w:t>
            </w:r>
          </w:p>
        </w:tc>
        <w:tc>
          <w:tcPr>
            <w:tcW w:w="1543" w:type="dxa"/>
            <w:tcBorders>
              <w:top w:val="single" w:sz="4" w:space="0" w:color="auto"/>
              <w:left w:val="single" w:sz="4" w:space="0" w:color="auto"/>
              <w:bottom w:val="single" w:sz="4" w:space="0" w:color="auto"/>
              <w:right w:val="single" w:sz="4" w:space="0" w:color="auto"/>
            </w:tcBorders>
          </w:tcPr>
          <w:p w:rsidR="00B4155D" w:rsidRPr="00BC2ED9" w:rsidRDefault="00C51553" w:rsidP="00DE3FAF">
            <w:pPr>
              <w:ind w:right="-103"/>
              <w:jc w:val="center"/>
              <w:rPr>
                <w:sz w:val="22"/>
                <w:szCs w:val="22"/>
                <w:lang w:val="bg-BG"/>
              </w:rPr>
            </w:pPr>
            <w:r w:rsidRPr="00070213">
              <w:rPr>
                <w:sz w:val="22"/>
                <w:szCs w:val="22"/>
                <w:lang w:val="bg-BG"/>
              </w:rPr>
              <w:t>Не се приема</w:t>
            </w:r>
          </w:p>
        </w:tc>
        <w:tc>
          <w:tcPr>
            <w:tcW w:w="4380" w:type="dxa"/>
            <w:tcBorders>
              <w:top w:val="single" w:sz="4" w:space="0" w:color="auto"/>
              <w:left w:val="single" w:sz="4" w:space="0" w:color="auto"/>
              <w:bottom w:val="single" w:sz="4" w:space="0" w:color="auto"/>
              <w:right w:val="single" w:sz="4" w:space="0" w:color="auto"/>
            </w:tcBorders>
          </w:tcPr>
          <w:p w:rsidR="00B4155D" w:rsidRPr="00BC2ED9" w:rsidRDefault="00C51553" w:rsidP="00301D96">
            <w:pPr>
              <w:widowControl w:val="0"/>
              <w:tabs>
                <w:tab w:val="left" w:pos="851"/>
                <w:tab w:val="left" w:pos="993"/>
              </w:tabs>
              <w:autoSpaceDE w:val="0"/>
              <w:autoSpaceDN w:val="0"/>
              <w:adjustRightInd w:val="0"/>
              <w:jc w:val="both"/>
              <w:rPr>
                <w:sz w:val="22"/>
                <w:szCs w:val="22"/>
                <w:lang w:val="bg-BG"/>
              </w:rPr>
            </w:pPr>
            <w:r w:rsidRPr="00070213">
              <w:rPr>
                <w:sz w:val="22"/>
                <w:szCs w:val="22"/>
                <w:lang w:val="bg-BG"/>
              </w:rPr>
              <w:t xml:space="preserve">Считаме, че съставът на </w:t>
            </w:r>
            <w:r w:rsidR="000251A1" w:rsidRPr="00070213">
              <w:rPr>
                <w:sz w:val="22"/>
                <w:szCs w:val="22"/>
                <w:lang w:val="bg-BG"/>
              </w:rPr>
              <w:t xml:space="preserve">правоспособното юридическо лице </w:t>
            </w:r>
            <w:r w:rsidRPr="00070213">
              <w:rPr>
                <w:sz w:val="22"/>
                <w:szCs w:val="22"/>
                <w:lang w:val="bg-BG"/>
              </w:rPr>
              <w:t>следва да се определя според обема и обхвата на работата</w:t>
            </w:r>
            <w:r w:rsidR="008C2B4B" w:rsidRPr="00394C5D">
              <w:rPr>
                <w:sz w:val="22"/>
                <w:szCs w:val="22"/>
                <w:lang w:val="bg-BG"/>
              </w:rPr>
              <w:t>, големината на населеното място и др. фактори, които налагат по-голяма гъвкавост</w:t>
            </w:r>
            <w:r w:rsidRPr="00394C5D">
              <w:rPr>
                <w:sz w:val="22"/>
                <w:szCs w:val="22"/>
                <w:lang w:val="bg-BG"/>
              </w:rPr>
              <w:t xml:space="preserve">. </w:t>
            </w:r>
          </w:p>
        </w:tc>
      </w:tr>
      <w:tr w:rsidR="00B4155D" w:rsidRPr="00070213" w:rsidTr="00B35421">
        <w:tc>
          <w:tcPr>
            <w:tcW w:w="2610" w:type="dxa"/>
            <w:vMerge/>
            <w:tcBorders>
              <w:left w:val="single" w:sz="4" w:space="0" w:color="auto"/>
              <w:right w:val="single" w:sz="4" w:space="0" w:color="auto"/>
            </w:tcBorders>
            <w:shd w:val="clear" w:color="auto" w:fill="D0CECE" w:themeFill="background2" w:themeFillShade="E6"/>
          </w:tcPr>
          <w:p w:rsidR="00B4155D" w:rsidRPr="00BC2ED9" w:rsidRDefault="00B4155D" w:rsidP="00AC192C">
            <w:pPr>
              <w:jc w:val="both"/>
              <w:rPr>
                <w:b/>
                <w:sz w:val="22"/>
                <w:szCs w:val="22"/>
                <w:lang w:val="bg-BG"/>
              </w:rPr>
            </w:pPr>
          </w:p>
        </w:tc>
        <w:tc>
          <w:tcPr>
            <w:tcW w:w="6102" w:type="dxa"/>
            <w:tcBorders>
              <w:top w:val="single" w:sz="4" w:space="0" w:color="auto"/>
              <w:left w:val="single" w:sz="4" w:space="0" w:color="auto"/>
              <w:bottom w:val="single" w:sz="4" w:space="0" w:color="auto"/>
              <w:right w:val="single" w:sz="4" w:space="0" w:color="auto"/>
            </w:tcBorders>
          </w:tcPr>
          <w:p w:rsidR="00B4155D" w:rsidRPr="00BC2ED9" w:rsidRDefault="00A00CB3" w:rsidP="00AC192C">
            <w:pPr>
              <w:jc w:val="both"/>
              <w:rPr>
                <w:sz w:val="22"/>
                <w:szCs w:val="22"/>
                <w:lang w:val="bg-BG"/>
              </w:rPr>
            </w:pPr>
            <w:r w:rsidRPr="00070213">
              <w:rPr>
                <w:sz w:val="22"/>
                <w:szCs w:val="22"/>
                <w:lang w:val="bg-BG"/>
              </w:rPr>
              <w:t>16. В чл. 13 (3) се поставя изискване към операторите на електронни съобщителни мрежи да „…съгласуват предварително проектите с мрежовите оператори на съответната физическа инфраструктура“. Не е ясно какво се има предвид под „проектите“, защото в основният текст на чл. 13 се говори за специализирани карти и регистри, а не за проекти.</w:t>
            </w:r>
          </w:p>
        </w:tc>
        <w:tc>
          <w:tcPr>
            <w:tcW w:w="1543" w:type="dxa"/>
            <w:tcBorders>
              <w:top w:val="single" w:sz="4" w:space="0" w:color="auto"/>
              <w:left w:val="single" w:sz="4" w:space="0" w:color="auto"/>
              <w:bottom w:val="single" w:sz="4" w:space="0" w:color="auto"/>
              <w:right w:val="single" w:sz="4" w:space="0" w:color="auto"/>
            </w:tcBorders>
          </w:tcPr>
          <w:p w:rsidR="00B4155D" w:rsidRPr="00070213" w:rsidRDefault="008C2B4B" w:rsidP="00AC192C">
            <w:pPr>
              <w:ind w:right="-103"/>
              <w:jc w:val="center"/>
              <w:rPr>
                <w:sz w:val="22"/>
                <w:szCs w:val="22"/>
                <w:lang w:val="bg-BG"/>
              </w:rPr>
            </w:pPr>
            <w:r w:rsidRPr="00070213">
              <w:rPr>
                <w:sz w:val="22"/>
                <w:szCs w:val="22"/>
                <w:lang w:val="bg-BG"/>
              </w:rPr>
              <w:t>Приема се</w:t>
            </w:r>
          </w:p>
          <w:p w:rsidR="000251A1" w:rsidRPr="00BC2ED9" w:rsidRDefault="000251A1" w:rsidP="00AC192C">
            <w:pPr>
              <w:ind w:right="-103"/>
              <w:jc w:val="center"/>
              <w:rPr>
                <w:sz w:val="22"/>
                <w:szCs w:val="22"/>
                <w:lang w:val="bg-BG"/>
              </w:rPr>
            </w:pPr>
          </w:p>
        </w:tc>
        <w:tc>
          <w:tcPr>
            <w:tcW w:w="4380" w:type="dxa"/>
            <w:tcBorders>
              <w:top w:val="single" w:sz="4" w:space="0" w:color="auto"/>
              <w:left w:val="single" w:sz="4" w:space="0" w:color="auto"/>
              <w:bottom w:val="single" w:sz="4" w:space="0" w:color="auto"/>
              <w:right w:val="single" w:sz="4" w:space="0" w:color="auto"/>
            </w:tcBorders>
          </w:tcPr>
          <w:p w:rsidR="008B561A" w:rsidRPr="00070213" w:rsidRDefault="008B561A" w:rsidP="00AC192C">
            <w:pPr>
              <w:pStyle w:val="NormalWeb"/>
              <w:spacing w:before="0" w:beforeAutospacing="0" w:after="0" w:afterAutospacing="0"/>
              <w:jc w:val="both"/>
              <w:rPr>
                <w:sz w:val="22"/>
                <w:szCs w:val="22"/>
              </w:rPr>
            </w:pPr>
            <w:r w:rsidRPr="00070213">
              <w:rPr>
                <w:sz w:val="22"/>
                <w:szCs w:val="22"/>
              </w:rPr>
              <w:t>Текстът придобива следната редакция:</w:t>
            </w:r>
          </w:p>
          <w:p w:rsidR="009447B1" w:rsidRPr="00BC2ED9" w:rsidRDefault="008B561A" w:rsidP="00527C1E">
            <w:pPr>
              <w:pStyle w:val="NormalWeb"/>
              <w:spacing w:before="0" w:beforeAutospacing="0" w:after="0" w:afterAutospacing="0"/>
              <w:jc w:val="both"/>
              <w:rPr>
                <w:sz w:val="22"/>
                <w:szCs w:val="22"/>
              </w:rPr>
            </w:pPr>
            <w:r w:rsidRPr="00070213">
              <w:rPr>
                <w:sz w:val="22"/>
                <w:szCs w:val="22"/>
              </w:rPr>
              <w:t xml:space="preserve">„(3) Преди приемане на специализираните карти и регистри, операторите на електронните съобщителни мрежи ги </w:t>
            </w:r>
            <w:r w:rsidRPr="00394C5D">
              <w:rPr>
                <w:sz w:val="22"/>
                <w:szCs w:val="22"/>
              </w:rPr>
              <w:t>съгласуват с мрежовите оператори на съответната физическа инфраструктура.“</w:t>
            </w:r>
            <w:r w:rsidRPr="001455CC">
              <w:rPr>
                <w:sz w:val="22"/>
                <w:szCs w:val="22"/>
              </w:rPr>
              <w:t>.</w:t>
            </w:r>
          </w:p>
        </w:tc>
      </w:tr>
      <w:tr w:rsidR="00B4155D" w:rsidRPr="00070213" w:rsidTr="00B35421">
        <w:tc>
          <w:tcPr>
            <w:tcW w:w="2610" w:type="dxa"/>
            <w:vMerge/>
            <w:tcBorders>
              <w:left w:val="single" w:sz="4" w:space="0" w:color="auto"/>
              <w:right w:val="single" w:sz="4" w:space="0" w:color="auto"/>
            </w:tcBorders>
            <w:shd w:val="clear" w:color="auto" w:fill="D0CECE" w:themeFill="background2" w:themeFillShade="E6"/>
          </w:tcPr>
          <w:p w:rsidR="00B4155D" w:rsidRPr="00BC2ED9" w:rsidRDefault="00B4155D" w:rsidP="00AC192C">
            <w:pPr>
              <w:jc w:val="both"/>
              <w:rPr>
                <w:b/>
                <w:sz w:val="22"/>
                <w:szCs w:val="22"/>
                <w:lang w:val="bg-BG"/>
              </w:rPr>
            </w:pPr>
          </w:p>
        </w:tc>
        <w:tc>
          <w:tcPr>
            <w:tcW w:w="6102" w:type="dxa"/>
            <w:tcBorders>
              <w:top w:val="single" w:sz="4" w:space="0" w:color="auto"/>
              <w:left w:val="single" w:sz="4" w:space="0" w:color="auto"/>
              <w:bottom w:val="single" w:sz="4" w:space="0" w:color="auto"/>
              <w:right w:val="single" w:sz="4" w:space="0" w:color="auto"/>
            </w:tcBorders>
          </w:tcPr>
          <w:p w:rsidR="00B4155D" w:rsidRPr="00BC2ED9" w:rsidRDefault="00A00CB3" w:rsidP="00AC192C">
            <w:pPr>
              <w:jc w:val="both"/>
              <w:rPr>
                <w:sz w:val="22"/>
                <w:szCs w:val="22"/>
                <w:lang w:val="bg-BG"/>
              </w:rPr>
            </w:pPr>
            <w:r w:rsidRPr="00070213">
              <w:rPr>
                <w:sz w:val="22"/>
                <w:szCs w:val="22"/>
                <w:lang w:val="bg-BG"/>
              </w:rPr>
              <w:t xml:space="preserve">17. В чл. 16 (2) на предложеният текст безусловно се поставя изискване за създаване на нова работна геодезическа основа </w:t>
            </w:r>
            <w:r w:rsidRPr="00070213">
              <w:rPr>
                <w:sz w:val="22"/>
                <w:szCs w:val="22"/>
                <w:lang w:val="bg-BG"/>
              </w:rPr>
              <w:lastRenderedPageBreak/>
              <w:t>(РГО). Считаме за коректно да се уточни, че нова работна геодезическа основа се създава само при необходимост в случай, че такава не е създавана или е унищожена.</w:t>
            </w:r>
          </w:p>
        </w:tc>
        <w:tc>
          <w:tcPr>
            <w:tcW w:w="1543" w:type="dxa"/>
            <w:tcBorders>
              <w:top w:val="single" w:sz="4" w:space="0" w:color="auto"/>
              <w:left w:val="single" w:sz="4" w:space="0" w:color="auto"/>
              <w:bottom w:val="single" w:sz="4" w:space="0" w:color="auto"/>
              <w:right w:val="single" w:sz="4" w:space="0" w:color="auto"/>
            </w:tcBorders>
          </w:tcPr>
          <w:p w:rsidR="00B4155D" w:rsidRPr="00BC2ED9" w:rsidRDefault="0091317A" w:rsidP="00DE3FAF">
            <w:pPr>
              <w:ind w:right="-103"/>
              <w:jc w:val="center"/>
              <w:rPr>
                <w:sz w:val="22"/>
                <w:szCs w:val="22"/>
                <w:lang w:val="bg-BG"/>
              </w:rPr>
            </w:pPr>
            <w:r w:rsidRPr="00070213">
              <w:rPr>
                <w:sz w:val="22"/>
                <w:szCs w:val="22"/>
                <w:lang w:val="bg-BG"/>
              </w:rPr>
              <w:lastRenderedPageBreak/>
              <w:t xml:space="preserve">Приема се </w:t>
            </w:r>
            <w:r w:rsidR="00FD693E" w:rsidRPr="00394C5D">
              <w:rPr>
                <w:sz w:val="22"/>
                <w:szCs w:val="22"/>
                <w:lang w:val="bg-BG"/>
              </w:rPr>
              <w:t>по принцип</w:t>
            </w:r>
          </w:p>
        </w:tc>
        <w:tc>
          <w:tcPr>
            <w:tcW w:w="4380" w:type="dxa"/>
            <w:tcBorders>
              <w:top w:val="single" w:sz="4" w:space="0" w:color="auto"/>
              <w:left w:val="single" w:sz="4" w:space="0" w:color="auto"/>
              <w:bottom w:val="single" w:sz="4" w:space="0" w:color="auto"/>
              <w:right w:val="single" w:sz="4" w:space="0" w:color="auto"/>
            </w:tcBorders>
          </w:tcPr>
          <w:p w:rsidR="00B4155D" w:rsidRPr="00BC2ED9" w:rsidRDefault="008C2B4B" w:rsidP="00AC192C">
            <w:pPr>
              <w:pStyle w:val="NormalWeb"/>
              <w:spacing w:before="0" w:beforeAutospacing="0" w:after="0" w:afterAutospacing="0"/>
              <w:jc w:val="both"/>
              <w:rPr>
                <w:sz w:val="22"/>
                <w:szCs w:val="22"/>
              </w:rPr>
            </w:pPr>
            <w:r w:rsidRPr="00070213">
              <w:rPr>
                <w:sz w:val="22"/>
                <w:szCs w:val="22"/>
              </w:rPr>
              <w:t xml:space="preserve">Алинея 1 </w:t>
            </w:r>
            <w:r w:rsidR="00386489" w:rsidRPr="00070213">
              <w:rPr>
                <w:sz w:val="22"/>
                <w:szCs w:val="22"/>
              </w:rPr>
              <w:t xml:space="preserve">на чл. 16 </w:t>
            </w:r>
            <w:r w:rsidRPr="00070213">
              <w:rPr>
                <w:sz w:val="22"/>
                <w:szCs w:val="22"/>
              </w:rPr>
              <w:t xml:space="preserve"> безусловно посочва, че </w:t>
            </w:r>
            <w:r w:rsidR="00386489" w:rsidRPr="00070213">
              <w:rPr>
                <w:sz w:val="22"/>
                <w:szCs w:val="22"/>
              </w:rPr>
              <w:t>п</w:t>
            </w:r>
            <w:r w:rsidRPr="00394C5D">
              <w:rPr>
                <w:sz w:val="22"/>
                <w:szCs w:val="22"/>
              </w:rPr>
              <w:t xml:space="preserve">ри изработването на специализираните </w:t>
            </w:r>
            <w:r w:rsidRPr="00394C5D">
              <w:rPr>
                <w:sz w:val="22"/>
                <w:szCs w:val="22"/>
              </w:rPr>
              <w:lastRenderedPageBreak/>
              <w:t>карти на електронните съобщителни мрежи и свързаната с тях физическа инфраструктура се използва геодезическата основа на кадастралната карта.</w:t>
            </w:r>
          </w:p>
          <w:p w:rsidR="008C2B4B" w:rsidRPr="00BC2ED9" w:rsidRDefault="008C2B4B" w:rsidP="00AC192C">
            <w:pPr>
              <w:pStyle w:val="NormalWeb"/>
              <w:spacing w:before="0" w:beforeAutospacing="0" w:after="0" w:afterAutospacing="0"/>
              <w:jc w:val="both"/>
              <w:rPr>
                <w:sz w:val="22"/>
                <w:szCs w:val="22"/>
              </w:rPr>
            </w:pPr>
            <w:r w:rsidRPr="00070213">
              <w:rPr>
                <w:sz w:val="22"/>
                <w:szCs w:val="22"/>
              </w:rPr>
              <w:t>Алинея 2 съдържа единствено препратка към реда и условията за създаване на нова основа, без да изисква такава във всеки случай.</w:t>
            </w:r>
          </w:p>
          <w:p w:rsidR="008C2B4B" w:rsidRPr="00BC2ED9" w:rsidRDefault="008C2B4B" w:rsidP="00AC192C">
            <w:pPr>
              <w:pStyle w:val="NormalWeb"/>
              <w:spacing w:before="0" w:beforeAutospacing="0" w:after="0" w:afterAutospacing="0"/>
              <w:jc w:val="both"/>
              <w:rPr>
                <w:sz w:val="22"/>
                <w:szCs w:val="22"/>
              </w:rPr>
            </w:pPr>
            <w:r w:rsidRPr="00070213">
              <w:rPr>
                <w:sz w:val="22"/>
                <w:szCs w:val="22"/>
              </w:rPr>
              <w:t>Все пак, от съображения за яснота и липса на превратно тълкуване в посочения смисъл е добавено уточнение „при необходимост“</w:t>
            </w:r>
          </w:p>
        </w:tc>
      </w:tr>
      <w:tr w:rsidR="00B4155D" w:rsidRPr="00070213" w:rsidTr="00B35421">
        <w:tc>
          <w:tcPr>
            <w:tcW w:w="2610" w:type="dxa"/>
            <w:vMerge/>
            <w:tcBorders>
              <w:left w:val="single" w:sz="4" w:space="0" w:color="auto"/>
              <w:right w:val="single" w:sz="4" w:space="0" w:color="auto"/>
            </w:tcBorders>
            <w:shd w:val="clear" w:color="auto" w:fill="D0CECE" w:themeFill="background2" w:themeFillShade="E6"/>
          </w:tcPr>
          <w:p w:rsidR="00B4155D" w:rsidRPr="00BC2ED9" w:rsidRDefault="00B4155D" w:rsidP="00AC192C">
            <w:pPr>
              <w:jc w:val="both"/>
              <w:rPr>
                <w:b/>
                <w:sz w:val="22"/>
                <w:szCs w:val="22"/>
                <w:lang w:val="bg-BG"/>
              </w:rPr>
            </w:pPr>
          </w:p>
        </w:tc>
        <w:tc>
          <w:tcPr>
            <w:tcW w:w="6102" w:type="dxa"/>
            <w:tcBorders>
              <w:top w:val="single" w:sz="4" w:space="0" w:color="auto"/>
              <w:left w:val="single" w:sz="4" w:space="0" w:color="auto"/>
              <w:bottom w:val="single" w:sz="4" w:space="0" w:color="auto"/>
              <w:right w:val="single" w:sz="4" w:space="0" w:color="auto"/>
            </w:tcBorders>
          </w:tcPr>
          <w:p w:rsidR="00B4155D" w:rsidRPr="00BC2ED9" w:rsidRDefault="00A00CB3" w:rsidP="00AC192C">
            <w:pPr>
              <w:jc w:val="both"/>
              <w:rPr>
                <w:sz w:val="22"/>
                <w:szCs w:val="22"/>
                <w:lang w:val="bg-BG"/>
              </w:rPr>
            </w:pPr>
            <w:r w:rsidRPr="00070213">
              <w:rPr>
                <w:sz w:val="22"/>
                <w:szCs w:val="22"/>
                <w:lang w:val="bg-BG"/>
              </w:rPr>
              <w:t>18. В чл. 17 (1) от текста може да се предположи, че съществуват съобщителни кабели с „… ширина до 0.50m…“ и по-големи! Такива размери са адекватни за физическа инфраструктура за разполагане на кабели, но не и за самите съобщителни кабели! Предлагаме</w:t>
            </w:r>
            <w:r w:rsidR="008008EC" w:rsidRPr="00070213">
              <w:rPr>
                <w:sz w:val="22"/>
                <w:szCs w:val="22"/>
                <w:lang w:val="bg-BG"/>
              </w:rPr>
              <w:t xml:space="preserve"> текста да бъде променен по следния начин: „Елементите на физическа инфраструктура за разполагането на съобщителните кабели с широчина до 0,5 m се заснемат </w:t>
            </w:r>
            <w:r w:rsidR="008008EC" w:rsidRPr="00394C5D">
              <w:rPr>
                <w:sz w:val="22"/>
                <w:szCs w:val="22"/>
                <w:lang w:val="bg-BG"/>
              </w:rPr>
              <w:t xml:space="preserve">по оста им, а останалите – по външните им размери.“. В чл. </w:t>
            </w:r>
            <w:r w:rsidR="00FD524C" w:rsidRPr="001455CC">
              <w:rPr>
                <w:sz w:val="22"/>
                <w:szCs w:val="22"/>
                <w:lang w:val="bg-BG"/>
              </w:rPr>
              <w:t>1</w:t>
            </w:r>
            <w:r w:rsidR="008008EC" w:rsidRPr="001455CC">
              <w:rPr>
                <w:sz w:val="22"/>
                <w:szCs w:val="22"/>
                <w:lang w:val="bg-BG"/>
              </w:rPr>
              <w:t>7 (5) се поставя изискване капаците на шахтите да се реперират и данните да се записват в реперни карнети. Такива данни се отразяват в паспортите на шахтите съгласно действащата Инструкция и условни знаци за изработване и поддържане на планове на подземни проводи и съоръжения, но както вече отбелязахме в предложението за наредба такива паспорти на шахти не са предвидени. Реперните карнети не могат да заместят паспортите на шахти. От друга страна считаме, че самото репериране като начин за документиране на местоположението на шахти или точки е отживялост, която няма практическа стойност в съвременното развитие на позициониращите и гео-информационни технологии, но изисква допълнителен времеви и финанс</w:t>
            </w:r>
            <w:r w:rsidR="008008EC" w:rsidRPr="000C225E">
              <w:rPr>
                <w:sz w:val="22"/>
                <w:szCs w:val="22"/>
                <w:lang w:val="bg-BG"/>
              </w:rPr>
              <w:t>ов ресурс за изпълнение! Предлагаме изискването за репериране на капаците на шахтите да отпадне.</w:t>
            </w:r>
          </w:p>
        </w:tc>
        <w:tc>
          <w:tcPr>
            <w:tcW w:w="1543" w:type="dxa"/>
            <w:tcBorders>
              <w:top w:val="single" w:sz="4" w:space="0" w:color="auto"/>
              <w:left w:val="single" w:sz="4" w:space="0" w:color="auto"/>
              <w:bottom w:val="single" w:sz="4" w:space="0" w:color="auto"/>
              <w:right w:val="single" w:sz="4" w:space="0" w:color="auto"/>
            </w:tcBorders>
          </w:tcPr>
          <w:p w:rsidR="008D4F15" w:rsidRPr="00BC2ED9" w:rsidRDefault="008D4F15" w:rsidP="00AC192C">
            <w:pPr>
              <w:ind w:right="-103"/>
              <w:jc w:val="center"/>
              <w:rPr>
                <w:sz w:val="22"/>
                <w:szCs w:val="22"/>
                <w:lang w:val="bg-BG"/>
              </w:rPr>
            </w:pPr>
            <w:r w:rsidRPr="00BC2ED9">
              <w:rPr>
                <w:sz w:val="22"/>
                <w:szCs w:val="22"/>
                <w:lang w:val="bg-BG"/>
              </w:rPr>
              <w:t>Приема се</w:t>
            </w:r>
          </w:p>
        </w:tc>
        <w:tc>
          <w:tcPr>
            <w:tcW w:w="4380" w:type="dxa"/>
            <w:tcBorders>
              <w:top w:val="single" w:sz="4" w:space="0" w:color="auto"/>
              <w:left w:val="single" w:sz="4" w:space="0" w:color="auto"/>
              <w:bottom w:val="single" w:sz="4" w:space="0" w:color="auto"/>
              <w:right w:val="single" w:sz="4" w:space="0" w:color="auto"/>
            </w:tcBorders>
          </w:tcPr>
          <w:p w:rsidR="00D327F4" w:rsidRPr="00070213" w:rsidRDefault="00F92094" w:rsidP="00F92094">
            <w:pPr>
              <w:pStyle w:val="NormalWeb"/>
              <w:spacing w:before="0" w:beforeAutospacing="0" w:after="0" w:afterAutospacing="0"/>
              <w:jc w:val="both"/>
              <w:rPr>
                <w:sz w:val="22"/>
                <w:szCs w:val="22"/>
              </w:rPr>
            </w:pPr>
            <w:r w:rsidRPr="00070213">
              <w:rPr>
                <w:sz w:val="22"/>
                <w:szCs w:val="22"/>
              </w:rPr>
              <w:t>Приема се предложението по чл. 17, ал. 1 и текстът придобива следната редакция:</w:t>
            </w:r>
          </w:p>
          <w:p w:rsidR="00FD524C" w:rsidRPr="00070213" w:rsidRDefault="00FD524C" w:rsidP="00F92094">
            <w:pPr>
              <w:pStyle w:val="NormalWeb"/>
              <w:spacing w:before="0" w:beforeAutospacing="0" w:after="0" w:afterAutospacing="0"/>
              <w:jc w:val="both"/>
              <w:rPr>
                <w:sz w:val="22"/>
                <w:szCs w:val="22"/>
              </w:rPr>
            </w:pPr>
            <w:r w:rsidRPr="00070213">
              <w:rPr>
                <w:sz w:val="22"/>
                <w:szCs w:val="22"/>
              </w:rPr>
              <w:t>„</w:t>
            </w:r>
            <w:r w:rsidR="00E32E1D" w:rsidRPr="00BC2ED9">
              <w:rPr>
                <w:sz w:val="22"/>
                <w:szCs w:val="22"/>
              </w:rPr>
              <w:t>Физическата инфраструктура с широчина до 0,5 m, предназначена за разполагане на съобщителни кабели, и самите съобщителни кабели се заснемат по оста им, а останалите – по външните им размери</w:t>
            </w:r>
            <w:r w:rsidRPr="00070213">
              <w:rPr>
                <w:sz w:val="22"/>
                <w:szCs w:val="22"/>
              </w:rPr>
              <w:t xml:space="preserve">. </w:t>
            </w:r>
          </w:p>
          <w:p w:rsidR="00FD524C" w:rsidRPr="000C225E" w:rsidRDefault="00E32E1D" w:rsidP="00FD524C">
            <w:pPr>
              <w:pStyle w:val="NormalWeb"/>
              <w:spacing w:before="0" w:beforeAutospacing="0" w:after="0" w:afterAutospacing="0"/>
              <w:jc w:val="both"/>
              <w:rPr>
                <w:sz w:val="22"/>
                <w:szCs w:val="22"/>
              </w:rPr>
            </w:pPr>
            <w:r w:rsidRPr="00070213">
              <w:rPr>
                <w:sz w:val="22"/>
                <w:szCs w:val="22"/>
              </w:rPr>
              <w:t>П</w:t>
            </w:r>
            <w:r w:rsidRPr="00394C5D">
              <w:rPr>
                <w:sz w:val="22"/>
                <w:szCs w:val="22"/>
              </w:rPr>
              <w:t>риемаме предложението за</w:t>
            </w:r>
            <w:r w:rsidR="00FD524C" w:rsidRPr="00394C5D">
              <w:rPr>
                <w:sz w:val="22"/>
                <w:szCs w:val="22"/>
              </w:rPr>
              <w:t xml:space="preserve"> </w:t>
            </w:r>
            <w:r w:rsidR="00FD524C" w:rsidRPr="001455CC">
              <w:rPr>
                <w:sz w:val="22"/>
                <w:szCs w:val="22"/>
              </w:rPr>
              <w:t xml:space="preserve">заличаването на </w:t>
            </w:r>
            <w:r w:rsidR="001248F9">
              <w:rPr>
                <w:sz w:val="22"/>
                <w:szCs w:val="22"/>
              </w:rPr>
              <w:t>ал. 5</w:t>
            </w:r>
            <w:r w:rsidR="00FD524C" w:rsidRPr="001455CC">
              <w:rPr>
                <w:sz w:val="22"/>
                <w:szCs w:val="22"/>
              </w:rPr>
              <w:t>.</w:t>
            </w:r>
          </w:p>
          <w:p w:rsidR="00FD524C" w:rsidRPr="000C225E" w:rsidRDefault="00FD524C" w:rsidP="00FD524C">
            <w:pPr>
              <w:pStyle w:val="NormalWeb"/>
              <w:spacing w:before="0" w:beforeAutospacing="0" w:after="0" w:afterAutospacing="0"/>
              <w:jc w:val="both"/>
              <w:rPr>
                <w:sz w:val="22"/>
                <w:szCs w:val="22"/>
              </w:rPr>
            </w:pPr>
          </w:p>
        </w:tc>
      </w:tr>
      <w:tr w:rsidR="00B4155D" w:rsidRPr="00070213" w:rsidTr="00B35421">
        <w:tc>
          <w:tcPr>
            <w:tcW w:w="2610" w:type="dxa"/>
            <w:vMerge/>
            <w:tcBorders>
              <w:left w:val="single" w:sz="4" w:space="0" w:color="auto"/>
              <w:right w:val="single" w:sz="4" w:space="0" w:color="auto"/>
            </w:tcBorders>
            <w:shd w:val="clear" w:color="auto" w:fill="D0CECE" w:themeFill="background2" w:themeFillShade="E6"/>
          </w:tcPr>
          <w:p w:rsidR="00B4155D" w:rsidRPr="00BC2ED9" w:rsidRDefault="00B4155D" w:rsidP="00AC192C">
            <w:pPr>
              <w:jc w:val="both"/>
              <w:rPr>
                <w:b/>
                <w:sz w:val="22"/>
                <w:szCs w:val="22"/>
                <w:lang w:val="bg-BG"/>
              </w:rPr>
            </w:pPr>
          </w:p>
        </w:tc>
        <w:tc>
          <w:tcPr>
            <w:tcW w:w="6102" w:type="dxa"/>
            <w:tcBorders>
              <w:top w:val="single" w:sz="4" w:space="0" w:color="auto"/>
              <w:left w:val="single" w:sz="4" w:space="0" w:color="auto"/>
              <w:bottom w:val="single" w:sz="4" w:space="0" w:color="auto"/>
              <w:right w:val="single" w:sz="4" w:space="0" w:color="auto"/>
            </w:tcBorders>
          </w:tcPr>
          <w:p w:rsidR="00B4155D" w:rsidRPr="00BC2ED9" w:rsidRDefault="008008EC" w:rsidP="00AC192C">
            <w:pPr>
              <w:jc w:val="both"/>
              <w:rPr>
                <w:sz w:val="22"/>
                <w:szCs w:val="22"/>
                <w:lang w:val="bg-BG"/>
              </w:rPr>
            </w:pPr>
            <w:r w:rsidRPr="00070213">
              <w:rPr>
                <w:sz w:val="22"/>
                <w:szCs w:val="22"/>
                <w:lang w:val="bg-BG"/>
              </w:rPr>
              <w:t>19. В чл. 18 (1) се изисква създаване на напречни профили за определяне на хоризонталното и вертикалното положение на подземните елементи на електронната съобщителна мрежа. Ако в наредбата се заложат подходящи изисквания за точност то изискването за изработване на напречни профили би било излишно.</w:t>
            </w:r>
          </w:p>
        </w:tc>
        <w:tc>
          <w:tcPr>
            <w:tcW w:w="1543" w:type="dxa"/>
            <w:tcBorders>
              <w:top w:val="single" w:sz="4" w:space="0" w:color="auto"/>
              <w:left w:val="single" w:sz="4" w:space="0" w:color="auto"/>
              <w:bottom w:val="single" w:sz="4" w:space="0" w:color="auto"/>
              <w:right w:val="single" w:sz="4" w:space="0" w:color="auto"/>
            </w:tcBorders>
          </w:tcPr>
          <w:p w:rsidR="00B4155D" w:rsidRPr="00BC2ED9" w:rsidRDefault="008D4F15" w:rsidP="008D4F15">
            <w:pPr>
              <w:ind w:right="-103"/>
              <w:jc w:val="center"/>
              <w:rPr>
                <w:sz w:val="22"/>
                <w:szCs w:val="22"/>
                <w:highlight w:val="yellow"/>
                <w:lang w:val="bg-BG"/>
              </w:rPr>
            </w:pPr>
            <w:r w:rsidRPr="00BC2ED9">
              <w:rPr>
                <w:sz w:val="22"/>
                <w:szCs w:val="22"/>
                <w:lang w:val="bg-BG"/>
              </w:rPr>
              <w:t>Н</w:t>
            </w:r>
            <w:r w:rsidR="001B0A47" w:rsidRPr="00BC2ED9">
              <w:rPr>
                <w:sz w:val="22"/>
                <w:szCs w:val="22"/>
                <w:lang w:val="bg-BG"/>
              </w:rPr>
              <w:t>е</w:t>
            </w:r>
            <w:r w:rsidRPr="00BC2ED9">
              <w:rPr>
                <w:sz w:val="22"/>
                <w:szCs w:val="22"/>
                <w:lang w:val="bg-BG"/>
              </w:rPr>
              <w:t xml:space="preserve"> се приема</w:t>
            </w:r>
          </w:p>
        </w:tc>
        <w:tc>
          <w:tcPr>
            <w:tcW w:w="4380" w:type="dxa"/>
            <w:tcBorders>
              <w:top w:val="single" w:sz="4" w:space="0" w:color="auto"/>
              <w:left w:val="single" w:sz="4" w:space="0" w:color="auto"/>
              <w:bottom w:val="single" w:sz="4" w:space="0" w:color="auto"/>
              <w:right w:val="single" w:sz="4" w:space="0" w:color="auto"/>
            </w:tcBorders>
          </w:tcPr>
          <w:p w:rsidR="00320342" w:rsidRPr="00BC2ED9" w:rsidRDefault="00320342" w:rsidP="00FD524C">
            <w:pPr>
              <w:pStyle w:val="NormalWeb"/>
              <w:spacing w:before="0" w:beforeAutospacing="0" w:after="0" w:afterAutospacing="0"/>
              <w:jc w:val="both"/>
              <w:rPr>
                <w:sz w:val="22"/>
                <w:szCs w:val="22"/>
                <w:highlight w:val="yellow"/>
              </w:rPr>
            </w:pPr>
            <w:r w:rsidRPr="00BC2ED9">
              <w:rPr>
                <w:sz w:val="22"/>
                <w:szCs w:val="22"/>
              </w:rPr>
              <w:t>С напречните профили се определя хоризонталното и вертикално положение на подземните елементи.</w:t>
            </w:r>
          </w:p>
        </w:tc>
      </w:tr>
      <w:tr w:rsidR="00B35421" w:rsidRPr="00070213" w:rsidTr="00B35421">
        <w:tc>
          <w:tcPr>
            <w:tcW w:w="2610" w:type="dxa"/>
            <w:vMerge/>
            <w:tcBorders>
              <w:left w:val="single" w:sz="4" w:space="0" w:color="auto"/>
              <w:right w:val="single" w:sz="4" w:space="0" w:color="auto"/>
            </w:tcBorders>
            <w:shd w:val="clear" w:color="auto" w:fill="D0CECE" w:themeFill="background2" w:themeFillShade="E6"/>
          </w:tcPr>
          <w:p w:rsidR="00B35421" w:rsidRPr="00BC2ED9" w:rsidRDefault="00B35421" w:rsidP="00AC192C">
            <w:pPr>
              <w:jc w:val="both"/>
              <w:rPr>
                <w:b/>
                <w:sz w:val="22"/>
                <w:szCs w:val="22"/>
                <w:lang w:val="bg-BG"/>
              </w:rPr>
            </w:pPr>
          </w:p>
        </w:tc>
        <w:tc>
          <w:tcPr>
            <w:tcW w:w="6102" w:type="dxa"/>
            <w:tcBorders>
              <w:top w:val="single" w:sz="4" w:space="0" w:color="auto"/>
              <w:left w:val="single" w:sz="4" w:space="0" w:color="auto"/>
              <w:bottom w:val="single" w:sz="4" w:space="0" w:color="auto"/>
              <w:right w:val="single" w:sz="4" w:space="0" w:color="auto"/>
            </w:tcBorders>
          </w:tcPr>
          <w:p w:rsidR="00B35421" w:rsidRPr="00BC2ED9" w:rsidRDefault="00B35421" w:rsidP="00AC192C">
            <w:pPr>
              <w:jc w:val="both"/>
              <w:rPr>
                <w:sz w:val="22"/>
                <w:szCs w:val="22"/>
                <w:lang w:val="bg-BG"/>
              </w:rPr>
            </w:pPr>
            <w:r w:rsidRPr="00070213">
              <w:rPr>
                <w:sz w:val="22"/>
                <w:szCs w:val="22"/>
                <w:lang w:val="bg-BG"/>
              </w:rPr>
              <w:t>20. В чл. 18 (2) се споменават някои от всички възможни начини за еднозначно установяване на хоризонталното и вертикално положение на подземните елементи на съобщителните мрежи. Например не е предвидена реално съществуващата възможност да се използва GPR (гео-радарна) техника, която не е от технологичния клас на изрично посочените проводотърсачи и металотърсачи. При съвременното темпо на бързо развитие на технологиите технологичните правила във всяка нормативна уредба са обречени на остарялост още в момента на съставянето им! Същото се отнася и за текстовете в чл. 19. Изказваме становище, че нормативната уредба не трябва да налага технологични „окови“!</w:t>
            </w:r>
            <w:r w:rsidRPr="00394C5D">
              <w:rPr>
                <w:sz w:val="22"/>
                <w:szCs w:val="22"/>
                <w:lang w:val="bg-BG"/>
              </w:rPr>
              <w:t xml:space="preserve"> Предлагаме текста на чл. 18 и чл. 19 да се прецизира, като се премахнат указания за използване на конкретна техника и технология за пространствено локализиране на подземните елементи на съобщителната мрежа, а да се поставят изисквания за качеството и точността на крайните резултати.</w:t>
            </w:r>
          </w:p>
        </w:tc>
        <w:tc>
          <w:tcPr>
            <w:tcW w:w="1543" w:type="dxa"/>
            <w:tcBorders>
              <w:top w:val="single" w:sz="4" w:space="0" w:color="auto"/>
              <w:left w:val="single" w:sz="4" w:space="0" w:color="auto"/>
              <w:bottom w:val="single" w:sz="4" w:space="0" w:color="auto"/>
              <w:right w:val="single" w:sz="4" w:space="0" w:color="auto"/>
            </w:tcBorders>
          </w:tcPr>
          <w:p w:rsidR="00B35421" w:rsidRPr="00BC2ED9" w:rsidRDefault="001B0A47" w:rsidP="00DA7103">
            <w:pPr>
              <w:ind w:right="-103"/>
              <w:jc w:val="center"/>
              <w:rPr>
                <w:sz w:val="22"/>
                <w:szCs w:val="22"/>
                <w:highlight w:val="yellow"/>
                <w:lang w:val="bg-BG"/>
              </w:rPr>
            </w:pPr>
            <w:r w:rsidRPr="00BC2ED9">
              <w:rPr>
                <w:sz w:val="22"/>
                <w:szCs w:val="22"/>
                <w:lang w:val="bg-BG"/>
              </w:rPr>
              <w:t>Приема се</w:t>
            </w:r>
          </w:p>
        </w:tc>
        <w:tc>
          <w:tcPr>
            <w:tcW w:w="4380" w:type="dxa"/>
            <w:tcBorders>
              <w:top w:val="single" w:sz="4" w:space="0" w:color="auto"/>
              <w:left w:val="single" w:sz="4" w:space="0" w:color="auto"/>
              <w:bottom w:val="single" w:sz="4" w:space="0" w:color="auto"/>
              <w:right w:val="single" w:sz="4" w:space="0" w:color="auto"/>
            </w:tcBorders>
          </w:tcPr>
          <w:p w:rsidR="00320342" w:rsidRPr="00BC2ED9" w:rsidRDefault="00320342" w:rsidP="00AC192C">
            <w:pPr>
              <w:pStyle w:val="NormalWeb"/>
              <w:spacing w:before="0" w:beforeAutospacing="0" w:after="0" w:afterAutospacing="0"/>
              <w:jc w:val="both"/>
              <w:rPr>
                <w:sz w:val="22"/>
                <w:szCs w:val="22"/>
              </w:rPr>
            </w:pPr>
            <w:r w:rsidRPr="00BC2ED9">
              <w:rPr>
                <w:sz w:val="22"/>
                <w:szCs w:val="22"/>
              </w:rPr>
              <w:t>Текстът се редактира по следния начин:</w:t>
            </w:r>
          </w:p>
          <w:p w:rsidR="00320342" w:rsidRPr="00377019" w:rsidRDefault="00320342" w:rsidP="00D624E7">
            <w:pPr>
              <w:pStyle w:val="NormalWeb"/>
              <w:spacing w:before="0" w:beforeAutospacing="0" w:after="0" w:afterAutospacing="0"/>
              <w:jc w:val="both"/>
              <w:rPr>
                <w:sz w:val="22"/>
                <w:szCs w:val="22"/>
                <w:highlight w:val="yellow"/>
              </w:rPr>
            </w:pPr>
            <w:r w:rsidRPr="00BC2ED9">
              <w:rPr>
                <w:sz w:val="22"/>
                <w:szCs w:val="22"/>
              </w:rPr>
              <w:t xml:space="preserve">„(2) За еднозначно установяване на електронните съобщителни кабели и физическата инфраструктура, в която са разположени, се използват </w:t>
            </w:r>
            <w:r w:rsidR="00DA7103" w:rsidRPr="00BC2ED9">
              <w:rPr>
                <w:sz w:val="22"/>
                <w:szCs w:val="22"/>
              </w:rPr>
              <w:t>методи и технологии, които осигуряват спазване на изискванията на тази наредба.</w:t>
            </w:r>
            <w:r w:rsidRPr="00BC2ED9">
              <w:rPr>
                <w:sz w:val="22"/>
                <w:szCs w:val="22"/>
              </w:rPr>
              <w:t>“</w:t>
            </w:r>
            <w:r w:rsidR="00DA7103" w:rsidRPr="00BC2ED9">
              <w:rPr>
                <w:sz w:val="22"/>
                <w:szCs w:val="22"/>
              </w:rPr>
              <w:t xml:space="preserve"> </w:t>
            </w:r>
          </w:p>
        </w:tc>
      </w:tr>
      <w:tr w:rsidR="00B35421" w:rsidRPr="00070213" w:rsidTr="00B35421">
        <w:tc>
          <w:tcPr>
            <w:tcW w:w="2610" w:type="dxa"/>
            <w:vMerge/>
            <w:tcBorders>
              <w:left w:val="single" w:sz="4" w:space="0" w:color="auto"/>
              <w:right w:val="single" w:sz="4" w:space="0" w:color="auto"/>
            </w:tcBorders>
            <w:shd w:val="clear" w:color="auto" w:fill="D0CECE" w:themeFill="background2" w:themeFillShade="E6"/>
          </w:tcPr>
          <w:p w:rsidR="00B35421" w:rsidRPr="00BC2ED9" w:rsidRDefault="00B35421" w:rsidP="00AC192C">
            <w:pPr>
              <w:jc w:val="both"/>
              <w:rPr>
                <w:b/>
                <w:sz w:val="22"/>
                <w:szCs w:val="22"/>
                <w:lang w:val="bg-BG"/>
              </w:rPr>
            </w:pPr>
          </w:p>
        </w:tc>
        <w:tc>
          <w:tcPr>
            <w:tcW w:w="6102" w:type="dxa"/>
            <w:tcBorders>
              <w:top w:val="single" w:sz="4" w:space="0" w:color="auto"/>
              <w:left w:val="single" w:sz="4" w:space="0" w:color="auto"/>
              <w:bottom w:val="single" w:sz="4" w:space="0" w:color="auto"/>
              <w:right w:val="single" w:sz="4" w:space="0" w:color="auto"/>
            </w:tcBorders>
          </w:tcPr>
          <w:p w:rsidR="00B35421" w:rsidRPr="00BC2ED9" w:rsidRDefault="00B35421" w:rsidP="00AC192C">
            <w:pPr>
              <w:jc w:val="both"/>
              <w:rPr>
                <w:sz w:val="22"/>
                <w:szCs w:val="22"/>
                <w:lang w:val="bg-BG"/>
              </w:rPr>
            </w:pPr>
            <w:r w:rsidRPr="00070213">
              <w:rPr>
                <w:sz w:val="22"/>
                <w:szCs w:val="22"/>
                <w:lang w:val="bg-BG"/>
              </w:rPr>
              <w:t>21. В чл. 20 (4) да се запише, че събраните данни се отразяват в специализираните карти.</w:t>
            </w:r>
          </w:p>
        </w:tc>
        <w:tc>
          <w:tcPr>
            <w:tcW w:w="1543" w:type="dxa"/>
            <w:tcBorders>
              <w:top w:val="single" w:sz="4" w:space="0" w:color="auto"/>
              <w:left w:val="single" w:sz="4" w:space="0" w:color="auto"/>
              <w:bottom w:val="single" w:sz="4" w:space="0" w:color="auto"/>
              <w:right w:val="single" w:sz="4" w:space="0" w:color="auto"/>
            </w:tcBorders>
          </w:tcPr>
          <w:p w:rsidR="00B35421" w:rsidRPr="00BC2ED9" w:rsidRDefault="008C2B4B" w:rsidP="00DE3FAF">
            <w:pPr>
              <w:ind w:right="-103"/>
              <w:jc w:val="center"/>
              <w:rPr>
                <w:sz w:val="22"/>
                <w:szCs w:val="22"/>
                <w:lang w:val="bg-BG"/>
              </w:rPr>
            </w:pPr>
            <w:r w:rsidRPr="00070213">
              <w:rPr>
                <w:sz w:val="22"/>
                <w:szCs w:val="22"/>
                <w:lang w:val="bg-BG"/>
              </w:rPr>
              <w:t>Приема се</w:t>
            </w:r>
          </w:p>
        </w:tc>
        <w:tc>
          <w:tcPr>
            <w:tcW w:w="4380" w:type="dxa"/>
            <w:tcBorders>
              <w:top w:val="single" w:sz="4" w:space="0" w:color="auto"/>
              <w:left w:val="single" w:sz="4" w:space="0" w:color="auto"/>
              <w:bottom w:val="single" w:sz="4" w:space="0" w:color="auto"/>
              <w:right w:val="single" w:sz="4" w:space="0" w:color="auto"/>
            </w:tcBorders>
          </w:tcPr>
          <w:p w:rsidR="00B35421" w:rsidRPr="00BC2ED9" w:rsidRDefault="008C2B4B" w:rsidP="00AC192C">
            <w:pPr>
              <w:pStyle w:val="NormalWeb"/>
              <w:spacing w:before="0" w:beforeAutospacing="0" w:after="0" w:afterAutospacing="0"/>
              <w:jc w:val="both"/>
              <w:rPr>
                <w:sz w:val="22"/>
                <w:szCs w:val="22"/>
              </w:rPr>
            </w:pPr>
            <w:r w:rsidRPr="00070213">
              <w:rPr>
                <w:sz w:val="22"/>
                <w:szCs w:val="22"/>
              </w:rPr>
              <w:t>Допълнено е „които се отразяват в специализираните карти“.</w:t>
            </w:r>
          </w:p>
        </w:tc>
      </w:tr>
      <w:tr w:rsidR="00B35421" w:rsidRPr="00070213" w:rsidTr="00B35421">
        <w:tc>
          <w:tcPr>
            <w:tcW w:w="2610" w:type="dxa"/>
            <w:vMerge/>
            <w:tcBorders>
              <w:left w:val="single" w:sz="4" w:space="0" w:color="auto"/>
              <w:right w:val="single" w:sz="4" w:space="0" w:color="auto"/>
            </w:tcBorders>
            <w:shd w:val="clear" w:color="auto" w:fill="D0CECE" w:themeFill="background2" w:themeFillShade="E6"/>
          </w:tcPr>
          <w:p w:rsidR="00B35421" w:rsidRPr="00BC2ED9" w:rsidRDefault="00B35421" w:rsidP="00AC192C">
            <w:pPr>
              <w:jc w:val="both"/>
              <w:rPr>
                <w:b/>
                <w:sz w:val="22"/>
                <w:szCs w:val="22"/>
                <w:lang w:val="bg-BG"/>
              </w:rPr>
            </w:pPr>
          </w:p>
        </w:tc>
        <w:tc>
          <w:tcPr>
            <w:tcW w:w="6102" w:type="dxa"/>
            <w:tcBorders>
              <w:top w:val="single" w:sz="4" w:space="0" w:color="auto"/>
              <w:left w:val="single" w:sz="4" w:space="0" w:color="auto"/>
              <w:bottom w:val="single" w:sz="4" w:space="0" w:color="auto"/>
              <w:right w:val="single" w:sz="4" w:space="0" w:color="auto"/>
            </w:tcBorders>
          </w:tcPr>
          <w:p w:rsidR="00B35421" w:rsidRPr="00BC2ED9" w:rsidRDefault="00B35421" w:rsidP="00AC192C">
            <w:pPr>
              <w:jc w:val="both"/>
              <w:rPr>
                <w:sz w:val="22"/>
                <w:szCs w:val="22"/>
                <w:lang w:val="bg-BG"/>
              </w:rPr>
            </w:pPr>
            <w:r w:rsidRPr="00070213">
              <w:rPr>
                <w:sz w:val="22"/>
                <w:szCs w:val="22"/>
                <w:lang w:val="bg-BG"/>
              </w:rPr>
              <w:t>22. Техническото задание, посочено в чл.20 (5) ЗАДЪЛЖИТЕЛНО трябва да се съгласува с АГКК/СГКК защото голяма част от работата е геодезическа, а и те участват в процеса по проверка и приемане на работата!</w:t>
            </w:r>
          </w:p>
        </w:tc>
        <w:tc>
          <w:tcPr>
            <w:tcW w:w="1543" w:type="dxa"/>
            <w:tcBorders>
              <w:top w:val="single" w:sz="4" w:space="0" w:color="auto"/>
              <w:left w:val="single" w:sz="4" w:space="0" w:color="auto"/>
              <w:bottom w:val="single" w:sz="4" w:space="0" w:color="auto"/>
              <w:right w:val="single" w:sz="4" w:space="0" w:color="auto"/>
            </w:tcBorders>
          </w:tcPr>
          <w:p w:rsidR="00B35421" w:rsidRPr="00BC2ED9" w:rsidRDefault="008C2B4B" w:rsidP="00DE3FAF">
            <w:pPr>
              <w:ind w:right="-103"/>
              <w:jc w:val="center"/>
              <w:rPr>
                <w:sz w:val="22"/>
                <w:szCs w:val="22"/>
                <w:lang w:val="bg-BG"/>
              </w:rPr>
            </w:pPr>
            <w:r w:rsidRPr="00070213">
              <w:rPr>
                <w:sz w:val="22"/>
                <w:szCs w:val="22"/>
                <w:lang w:val="bg-BG"/>
              </w:rPr>
              <w:t>Не се приема</w:t>
            </w:r>
          </w:p>
        </w:tc>
        <w:tc>
          <w:tcPr>
            <w:tcW w:w="4380" w:type="dxa"/>
            <w:tcBorders>
              <w:top w:val="single" w:sz="4" w:space="0" w:color="auto"/>
              <w:left w:val="single" w:sz="4" w:space="0" w:color="auto"/>
              <w:bottom w:val="single" w:sz="4" w:space="0" w:color="auto"/>
              <w:right w:val="single" w:sz="4" w:space="0" w:color="auto"/>
            </w:tcBorders>
          </w:tcPr>
          <w:p w:rsidR="00B35421" w:rsidRPr="00BC2ED9" w:rsidRDefault="008C2B4B" w:rsidP="004768DE">
            <w:pPr>
              <w:pStyle w:val="NormalWeb"/>
              <w:spacing w:before="0" w:beforeAutospacing="0" w:after="0" w:afterAutospacing="0"/>
              <w:jc w:val="both"/>
              <w:rPr>
                <w:sz w:val="22"/>
                <w:szCs w:val="22"/>
                <w:highlight w:val="yellow"/>
              </w:rPr>
            </w:pPr>
            <w:r w:rsidRPr="00070213">
              <w:rPr>
                <w:sz w:val="22"/>
                <w:szCs w:val="22"/>
              </w:rPr>
              <w:t>Считаме, че това създава излишна административна тежест за операторите. Считаме, че професионалното изготвяне и изпълнение на проекта, съчетано с контрола на АГКК на етапа приемане, са достатъчни за да осигурят качеството на процеса.</w:t>
            </w:r>
            <w:r w:rsidR="004768DE" w:rsidRPr="00070213">
              <w:rPr>
                <w:sz w:val="22"/>
                <w:szCs w:val="22"/>
              </w:rPr>
              <w:t xml:space="preserve"> </w:t>
            </w:r>
          </w:p>
        </w:tc>
      </w:tr>
      <w:tr w:rsidR="00B35421" w:rsidRPr="00070213" w:rsidTr="00B35421">
        <w:tc>
          <w:tcPr>
            <w:tcW w:w="2610" w:type="dxa"/>
            <w:vMerge/>
            <w:tcBorders>
              <w:left w:val="single" w:sz="4" w:space="0" w:color="auto"/>
              <w:right w:val="single" w:sz="4" w:space="0" w:color="auto"/>
            </w:tcBorders>
            <w:shd w:val="clear" w:color="auto" w:fill="D0CECE" w:themeFill="background2" w:themeFillShade="E6"/>
          </w:tcPr>
          <w:p w:rsidR="00B35421" w:rsidRPr="00BC2ED9" w:rsidRDefault="00B35421" w:rsidP="00AC192C">
            <w:pPr>
              <w:jc w:val="both"/>
              <w:rPr>
                <w:b/>
                <w:sz w:val="22"/>
                <w:szCs w:val="22"/>
                <w:lang w:val="bg-BG"/>
              </w:rPr>
            </w:pPr>
          </w:p>
        </w:tc>
        <w:tc>
          <w:tcPr>
            <w:tcW w:w="6102" w:type="dxa"/>
            <w:tcBorders>
              <w:top w:val="single" w:sz="4" w:space="0" w:color="auto"/>
              <w:left w:val="single" w:sz="4" w:space="0" w:color="auto"/>
              <w:bottom w:val="single" w:sz="4" w:space="0" w:color="auto"/>
              <w:right w:val="single" w:sz="4" w:space="0" w:color="auto"/>
            </w:tcBorders>
          </w:tcPr>
          <w:p w:rsidR="00B35421" w:rsidRPr="00BC2ED9" w:rsidRDefault="00B35421" w:rsidP="00AC192C">
            <w:pPr>
              <w:jc w:val="both"/>
              <w:rPr>
                <w:sz w:val="22"/>
                <w:szCs w:val="22"/>
                <w:lang w:val="bg-BG"/>
              </w:rPr>
            </w:pPr>
            <w:r w:rsidRPr="00070213">
              <w:rPr>
                <w:sz w:val="22"/>
                <w:szCs w:val="22"/>
                <w:lang w:val="bg-BG"/>
              </w:rPr>
              <w:t xml:space="preserve">23. В чл. 21 следва да има задължително изискване договорите с потенциални изпълнители да са направени така, че плащанията да са обвързани с наличие на протокол за </w:t>
            </w:r>
            <w:r w:rsidRPr="00070213">
              <w:rPr>
                <w:sz w:val="22"/>
                <w:szCs w:val="22"/>
                <w:lang w:val="bg-BG"/>
              </w:rPr>
              <w:lastRenderedPageBreak/>
              <w:t>приемане, а санкциите с протокол за неприемане! (Мотиви: Има случаи, в които възложителя е платил на изпълнителя независимо, че няма протокол или има протокол със срок за отстраняване на пропуски и неточности, а изпълнителя след като си е получил парите счита договора за приключил.)</w:t>
            </w:r>
          </w:p>
        </w:tc>
        <w:tc>
          <w:tcPr>
            <w:tcW w:w="1543" w:type="dxa"/>
            <w:tcBorders>
              <w:top w:val="single" w:sz="4" w:space="0" w:color="auto"/>
              <w:left w:val="single" w:sz="4" w:space="0" w:color="auto"/>
              <w:bottom w:val="single" w:sz="4" w:space="0" w:color="auto"/>
              <w:right w:val="single" w:sz="4" w:space="0" w:color="auto"/>
            </w:tcBorders>
          </w:tcPr>
          <w:p w:rsidR="00B35421" w:rsidRPr="00BC2ED9" w:rsidRDefault="008C2B4B" w:rsidP="00DE3FAF">
            <w:pPr>
              <w:ind w:right="-103"/>
              <w:jc w:val="center"/>
              <w:rPr>
                <w:sz w:val="22"/>
                <w:szCs w:val="22"/>
                <w:lang w:val="bg-BG"/>
              </w:rPr>
            </w:pPr>
            <w:r w:rsidRPr="00070213">
              <w:rPr>
                <w:sz w:val="22"/>
                <w:szCs w:val="22"/>
                <w:lang w:val="bg-BG"/>
              </w:rPr>
              <w:lastRenderedPageBreak/>
              <w:t>Не се приема</w:t>
            </w:r>
          </w:p>
        </w:tc>
        <w:tc>
          <w:tcPr>
            <w:tcW w:w="4380" w:type="dxa"/>
            <w:tcBorders>
              <w:top w:val="single" w:sz="4" w:space="0" w:color="auto"/>
              <w:left w:val="single" w:sz="4" w:space="0" w:color="auto"/>
              <w:bottom w:val="single" w:sz="4" w:space="0" w:color="auto"/>
              <w:right w:val="single" w:sz="4" w:space="0" w:color="auto"/>
            </w:tcBorders>
          </w:tcPr>
          <w:p w:rsidR="00B35421" w:rsidRPr="00BC2ED9" w:rsidRDefault="008C2B4B" w:rsidP="00AC192C">
            <w:pPr>
              <w:pStyle w:val="NormalWeb"/>
              <w:spacing w:before="0" w:beforeAutospacing="0" w:after="0" w:afterAutospacing="0"/>
              <w:jc w:val="both"/>
              <w:rPr>
                <w:sz w:val="22"/>
                <w:szCs w:val="22"/>
              </w:rPr>
            </w:pPr>
            <w:r w:rsidRPr="00070213">
              <w:rPr>
                <w:sz w:val="22"/>
                <w:szCs w:val="22"/>
              </w:rPr>
              <w:t xml:space="preserve">Съгласно многократно цитираната по-горе законова делегация за приемането на наредбата, отношенията между страните по </w:t>
            </w:r>
            <w:r w:rsidRPr="00070213">
              <w:rPr>
                <w:sz w:val="22"/>
                <w:szCs w:val="22"/>
              </w:rPr>
              <w:lastRenderedPageBreak/>
              <w:t>възлагането на работата биха на</w:t>
            </w:r>
            <w:r w:rsidR="004A5C21" w:rsidRPr="00070213">
              <w:rPr>
                <w:sz w:val="22"/>
                <w:szCs w:val="22"/>
              </w:rPr>
              <w:t>д</w:t>
            </w:r>
            <w:r w:rsidRPr="00070213">
              <w:rPr>
                <w:sz w:val="22"/>
                <w:szCs w:val="22"/>
              </w:rPr>
              <w:t>хвърлили</w:t>
            </w:r>
            <w:r w:rsidR="005966E7" w:rsidRPr="00070213">
              <w:rPr>
                <w:sz w:val="22"/>
                <w:szCs w:val="22"/>
              </w:rPr>
              <w:t xml:space="preserve"> тази делегация.</w:t>
            </w:r>
          </w:p>
          <w:p w:rsidR="005966E7" w:rsidRPr="00BC2ED9" w:rsidRDefault="005966E7" w:rsidP="00AC192C">
            <w:pPr>
              <w:pStyle w:val="NormalWeb"/>
              <w:spacing w:before="0" w:beforeAutospacing="0" w:after="0" w:afterAutospacing="0"/>
              <w:jc w:val="both"/>
              <w:rPr>
                <w:sz w:val="22"/>
                <w:szCs w:val="22"/>
              </w:rPr>
            </w:pPr>
            <w:r w:rsidRPr="00070213">
              <w:rPr>
                <w:sz w:val="22"/>
                <w:szCs w:val="22"/>
              </w:rPr>
              <w:t>Освен това става въпрос за облигационни отношения, които не се нуждаят от регулация.</w:t>
            </w:r>
          </w:p>
        </w:tc>
      </w:tr>
      <w:tr w:rsidR="00B35421" w:rsidRPr="00070213" w:rsidTr="00B35421">
        <w:tc>
          <w:tcPr>
            <w:tcW w:w="2610" w:type="dxa"/>
            <w:vMerge/>
            <w:tcBorders>
              <w:left w:val="single" w:sz="4" w:space="0" w:color="auto"/>
              <w:right w:val="single" w:sz="4" w:space="0" w:color="auto"/>
            </w:tcBorders>
            <w:shd w:val="clear" w:color="auto" w:fill="D0CECE" w:themeFill="background2" w:themeFillShade="E6"/>
          </w:tcPr>
          <w:p w:rsidR="00B35421" w:rsidRPr="00377019" w:rsidRDefault="00B35421" w:rsidP="00AC192C">
            <w:pPr>
              <w:jc w:val="both"/>
              <w:rPr>
                <w:b/>
                <w:sz w:val="22"/>
                <w:szCs w:val="22"/>
                <w:lang w:val="bg-BG"/>
              </w:rPr>
            </w:pPr>
          </w:p>
        </w:tc>
        <w:tc>
          <w:tcPr>
            <w:tcW w:w="6102" w:type="dxa"/>
            <w:tcBorders>
              <w:top w:val="single" w:sz="4" w:space="0" w:color="auto"/>
              <w:left w:val="single" w:sz="4" w:space="0" w:color="auto"/>
              <w:bottom w:val="single" w:sz="4" w:space="0" w:color="auto"/>
              <w:right w:val="single" w:sz="4" w:space="0" w:color="auto"/>
            </w:tcBorders>
          </w:tcPr>
          <w:p w:rsidR="00B35421" w:rsidRPr="00377019" w:rsidRDefault="00B35421" w:rsidP="00AC192C">
            <w:pPr>
              <w:jc w:val="both"/>
              <w:rPr>
                <w:sz w:val="22"/>
                <w:szCs w:val="22"/>
                <w:lang w:val="bg-BG"/>
              </w:rPr>
            </w:pPr>
            <w:r w:rsidRPr="00070213">
              <w:rPr>
                <w:sz w:val="22"/>
                <w:szCs w:val="22"/>
                <w:lang w:val="bg-BG"/>
              </w:rPr>
              <w:t>24. В чл. 21 (4) се поставя изискването „Копие от приетите карти и регистри на електронна съобщителна мрежа и физическа инфраструктура в цифров вид се предават в Агенцията по геодезия, картография и кадастър в 30-дневен срок“, като по подразбиране този срок следва да тече след датата на протокол за приключване на работата на комисия по чл. 32 (4) от ЗКИР. Срокът от 30 дни обаче не кореспондира със задължението по чл. 32 (8) от ЗКИР, регламентиращ „Органите или лицата по а</w:t>
            </w:r>
            <w:r w:rsidRPr="00394C5D">
              <w:rPr>
                <w:sz w:val="22"/>
                <w:szCs w:val="22"/>
                <w:lang w:val="bg-BG"/>
              </w:rPr>
              <w:t>л. 1 предоставят на Агенцията по геодезия, картография и кадастър новите или променените данни за обектите по ал. 1, т. 1 в 7-дневен срок от възникването или от промяната им.“. Същата забележка се отнася и за 1-месечния срок от чл. 22 на проекта за наредба, в който се отразяват промени при поддържането на специализираните карти и регистри.</w:t>
            </w:r>
          </w:p>
        </w:tc>
        <w:tc>
          <w:tcPr>
            <w:tcW w:w="1543" w:type="dxa"/>
            <w:tcBorders>
              <w:top w:val="single" w:sz="4" w:space="0" w:color="auto"/>
              <w:left w:val="single" w:sz="4" w:space="0" w:color="auto"/>
              <w:bottom w:val="single" w:sz="4" w:space="0" w:color="auto"/>
              <w:right w:val="single" w:sz="4" w:space="0" w:color="auto"/>
            </w:tcBorders>
          </w:tcPr>
          <w:p w:rsidR="000251A1" w:rsidRPr="00377019" w:rsidRDefault="00CB5C57" w:rsidP="000251A1">
            <w:pPr>
              <w:ind w:right="-103"/>
              <w:jc w:val="center"/>
              <w:rPr>
                <w:sz w:val="22"/>
                <w:szCs w:val="22"/>
                <w:lang w:val="bg-BG"/>
              </w:rPr>
            </w:pPr>
            <w:r w:rsidRPr="00377019">
              <w:rPr>
                <w:sz w:val="22"/>
                <w:szCs w:val="22"/>
                <w:lang w:val="bg-BG"/>
              </w:rPr>
              <w:t>Не се приема</w:t>
            </w:r>
          </w:p>
        </w:tc>
        <w:tc>
          <w:tcPr>
            <w:tcW w:w="4380" w:type="dxa"/>
            <w:tcBorders>
              <w:top w:val="single" w:sz="4" w:space="0" w:color="auto"/>
              <w:left w:val="single" w:sz="4" w:space="0" w:color="auto"/>
              <w:bottom w:val="single" w:sz="4" w:space="0" w:color="auto"/>
              <w:right w:val="single" w:sz="4" w:space="0" w:color="auto"/>
            </w:tcBorders>
          </w:tcPr>
          <w:p w:rsidR="00DA7103" w:rsidRPr="00BC2ED9" w:rsidRDefault="00047E05" w:rsidP="00047E05">
            <w:pPr>
              <w:pStyle w:val="CommentText"/>
              <w:jc w:val="both"/>
              <w:rPr>
                <w:sz w:val="22"/>
                <w:szCs w:val="22"/>
                <w:lang w:val="bg-BG"/>
              </w:rPr>
            </w:pPr>
            <w:r w:rsidRPr="00BC2ED9">
              <w:rPr>
                <w:sz w:val="22"/>
                <w:szCs w:val="22"/>
                <w:lang w:val="bg-BG"/>
              </w:rPr>
              <w:t xml:space="preserve">Като приемем, че съгласно </w:t>
            </w:r>
            <w:r w:rsidR="00DA7103" w:rsidRPr="00BC2ED9">
              <w:rPr>
                <w:sz w:val="22"/>
                <w:szCs w:val="22"/>
                <w:lang w:val="bg-BG"/>
              </w:rPr>
              <w:t>чл. 32, ал. 8 от ЗКИР, в 7-дневен срок</w:t>
            </w:r>
            <w:r w:rsidR="0010090B">
              <w:rPr>
                <w:sz w:val="22"/>
                <w:szCs w:val="22"/>
                <w:lang w:val="bg-BG"/>
              </w:rPr>
              <w:t>,</w:t>
            </w:r>
            <w:r w:rsidR="00DA7103" w:rsidRPr="00BC2ED9">
              <w:rPr>
                <w:sz w:val="22"/>
                <w:szCs w:val="22"/>
                <w:lang w:val="bg-BG"/>
              </w:rPr>
              <w:t xml:space="preserve"> на АГКК се предават „новите или променени данни“, не от физическото им възникване или промяна, а след отразяването им в специализираната карта, то </w:t>
            </w:r>
            <w:r w:rsidRPr="00BC2ED9">
              <w:rPr>
                <w:sz w:val="22"/>
                <w:szCs w:val="22"/>
                <w:lang w:val="bg-BG"/>
              </w:rPr>
              <w:t xml:space="preserve">считаме, че </w:t>
            </w:r>
            <w:r w:rsidR="0010090B">
              <w:rPr>
                <w:sz w:val="22"/>
                <w:szCs w:val="22"/>
                <w:lang w:val="bg-BG"/>
              </w:rPr>
              <w:t xml:space="preserve">30 дневният </w:t>
            </w:r>
            <w:r w:rsidR="00DA7103" w:rsidRPr="00BC2ED9">
              <w:rPr>
                <w:sz w:val="22"/>
                <w:szCs w:val="22"/>
                <w:lang w:val="bg-BG"/>
              </w:rPr>
              <w:t xml:space="preserve">срок </w:t>
            </w:r>
            <w:r w:rsidR="0010090B">
              <w:rPr>
                <w:sz w:val="22"/>
                <w:szCs w:val="22"/>
                <w:lang w:val="bg-BG"/>
              </w:rPr>
              <w:t xml:space="preserve">може </w:t>
            </w:r>
            <w:r w:rsidR="00DA7103" w:rsidRPr="00BC2ED9">
              <w:rPr>
                <w:sz w:val="22"/>
                <w:szCs w:val="22"/>
                <w:lang w:val="bg-BG"/>
              </w:rPr>
              <w:t xml:space="preserve">да остане. </w:t>
            </w:r>
          </w:p>
          <w:p w:rsidR="00DA7103" w:rsidRPr="00377019" w:rsidRDefault="00DA7103" w:rsidP="000251A1">
            <w:pPr>
              <w:pStyle w:val="NormalWeb"/>
              <w:spacing w:before="0" w:beforeAutospacing="0" w:after="0" w:afterAutospacing="0"/>
              <w:jc w:val="both"/>
              <w:rPr>
                <w:sz w:val="22"/>
                <w:szCs w:val="22"/>
              </w:rPr>
            </w:pPr>
          </w:p>
        </w:tc>
      </w:tr>
      <w:tr w:rsidR="00B35421" w:rsidRPr="00070213" w:rsidTr="00B35421">
        <w:tc>
          <w:tcPr>
            <w:tcW w:w="2610" w:type="dxa"/>
            <w:vMerge/>
            <w:tcBorders>
              <w:left w:val="single" w:sz="4" w:space="0" w:color="auto"/>
              <w:right w:val="single" w:sz="4" w:space="0" w:color="auto"/>
            </w:tcBorders>
            <w:shd w:val="clear" w:color="auto" w:fill="D0CECE" w:themeFill="background2" w:themeFillShade="E6"/>
          </w:tcPr>
          <w:p w:rsidR="00B35421" w:rsidRPr="00BC2ED9" w:rsidRDefault="00B35421" w:rsidP="00AC192C">
            <w:pPr>
              <w:jc w:val="both"/>
              <w:rPr>
                <w:b/>
                <w:sz w:val="22"/>
                <w:szCs w:val="22"/>
                <w:lang w:val="bg-BG"/>
              </w:rPr>
            </w:pPr>
          </w:p>
        </w:tc>
        <w:tc>
          <w:tcPr>
            <w:tcW w:w="6102" w:type="dxa"/>
            <w:tcBorders>
              <w:top w:val="single" w:sz="4" w:space="0" w:color="auto"/>
              <w:left w:val="single" w:sz="4" w:space="0" w:color="auto"/>
              <w:bottom w:val="single" w:sz="4" w:space="0" w:color="auto"/>
              <w:right w:val="single" w:sz="4" w:space="0" w:color="auto"/>
            </w:tcBorders>
          </w:tcPr>
          <w:p w:rsidR="00B35421" w:rsidRPr="00BC2ED9" w:rsidRDefault="00B35421" w:rsidP="00AC192C">
            <w:pPr>
              <w:jc w:val="both"/>
              <w:rPr>
                <w:sz w:val="22"/>
                <w:szCs w:val="22"/>
                <w:lang w:val="bg-BG"/>
              </w:rPr>
            </w:pPr>
            <w:r w:rsidRPr="00070213">
              <w:rPr>
                <w:sz w:val="22"/>
                <w:szCs w:val="22"/>
                <w:lang w:val="bg-BG"/>
              </w:rPr>
              <w:t>25. В чл. 23, аналогично на чл.13 да се постави изискване в състава, на правоспособните лица по ЗКИР да има поне 1 инженер по електронни съобщителни мрежи и съоръжения с пълна проектантска правоспособност от КИИП.</w:t>
            </w:r>
          </w:p>
        </w:tc>
        <w:tc>
          <w:tcPr>
            <w:tcW w:w="1543" w:type="dxa"/>
            <w:tcBorders>
              <w:top w:val="single" w:sz="4" w:space="0" w:color="auto"/>
              <w:left w:val="single" w:sz="4" w:space="0" w:color="auto"/>
              <w:bottom w:val="single" w:sz="4" w:space="0" w:color="auto"/>
              <w:right w:val="single" w:sz="4" w:space="0" w:color="auto"/>
            </w:tcBorders>
          </w:tcPr>
          <w:p w:rsidR="00B35421" w:rsidRPr="00BC2ED9" w:rsidRDefault="005966E7" w:rsidP="00DE3FAF">
            <w:pPr>
              <w:ind w:right="-103"/>
              <w:jc w:val="center"/>
              <w:rPr>
                <w:sz w:val="22"/>
                <w:szCs w:val="22"/>
                <w:lang w:val="bg-BG"/>
              </w:rPr>
            </w:pPr>
            <w:r w:rsidRPr="00070213">
              <w:rPr>
                <w:sz w:val="22"/>
                <w:szCs w:val="22"/>
                <w:lang w:val="bg-BG"/>
              </w:rPr>
              <w:t>Не се приема</w:t>
            </w:r>
          </w:p>
        </w:tc>
        <w:tc>
          <w:tcPr>
            <w:tcW w:w="4380" w:type="dxa"/>
            <w:tcBorders>
              <w:top w:val="single" w:sz="4" w:space="0" w:color="auto"/>
              <w:left w:val="single" w:sz="4" w:space="0" w:color="auto"/>
              <w:bottom w:val="single" w:sz="4" w:space="0" w:color="auto"/>
              <w:right w:val="single" w:sz="4" w:space="0" w:color="auto"/>
            </w:tcBorders>
          </w:tcPr>
          <w:p w:rsidR="00B35421" w:rsidRPr="00BC2ED9" w:rsidRDefault="005966E7" w:rsidP="00AC192C">
            <w:pPr>
              <w:pStyle w:val="NormalWeb"/>
              <w:spacing w:before="0" w:beforeAutospacing="0" w:after="0" w:afterAutospacing="0"/>
              <w:jc w:val="both"/>
              <w:rPr>
                <w:sz w:val="22"/>
                <w:szCs w:val="22"/>
              </w:rPr>
            </w:pPr>
            <w:r w:rsidRPr="00070213">
              <w:rPr>
                <w:sz w:val="22"/>
                <w:szCs w:val="22"/>
              </w:rPr>
              <w:t>По посочените по-горе причини в мотива за неприемане на предложението по чл. 13.</w:t>
            </w:r>
          </w:p>
        </w:tc>
      </w:tr>
      <w:tr w:rsidR="00B35421" w:rsidRPr="00070213" w:rsidTr="00B35421">
        <w:tc>
          <w:tcPr>
            <w:tcW w:w="2610" w:type="dxa"/>
            <w:vMerge/>
            <w:tcBorders>
              <w:left w:val="single" w:sz="4" w:space="0" w:color="auto"/>
              <w:right w:val="single" w:sz="4" w:space="0" w:color="auto"/>
            </w:tcBorders>
            <w:shd w:val="clear" w:color="auto" w:fill="D0CECE" w:themeFill="background2" w:themeFillShade="E6"/>
          </w:tcPr>
          <w:p w:rsidR="00B35421" w:rsidRPr="00BC2ED9" w:rsidRDefault="00B35421" w:rsidP="00AC192C">
            <w:pPr>
              <w:jc w:val="both"/>
              <w:rPr>
                <w:b/>
                <w:sz w:val="22"/>
                <w:szCs w:val="22"/>
                <w:lang w:val="bg-BG"/>
              </w:rPr>
            </w:pPr>
          </w:p>
        </w:tc>
        <w:tc>
          <w:tcPr>
            <w:tcW w:w="6102" w:type="dxa"/>
            <w:tcBorders>
              <w:top w:val="single" w:sz="4" w:space="0" w:color="auto"/>
              <w:left w:val="single" w:sz="4" w:space="0" w:color="auto"/>
              <w:bottom w:val="single" w:sz="4" w:space="0" w:color="auto"/>
              <w:right w:val="single" w:sz="4" w:space="0" w:color="auto"/>
            </w:tcBorders>
          </w:tcPr>
          <w:p w:rsidR="00B35421" w:rsidRPr="00BC2ED9" w:rsidRDefault="00B35421" w:rsidP="00AC192C">
            <w:pPr>
              <w:jc w:val="both"/>
              <w:rPr>
                <w:sz w:val="22"/>
                <w:szCs w:val="22"/>
                <w:lang w:val="bg-BG"/>
              </w:rPr>
            </w:pPr>
            <w:r w:rsidRPr="00070213">
              <w:rPr>
                <w:sz w:val="22"/>
                <w:szCs w:val="22"/>
                <w:lang w:val="bg-BG"/>
              </w:rPr>
              <w:t>26. Не би следвало в §2 от Преходните и заключителни разпоредби се позволява ползването на друга основа освен КККР.</w:t>
            </w:r>
          </w:p>
        </w:tc>
        <w:tc>
          <w:tcPr>
            <w:tcW w:w="1543" w:type="dxa"/>
            <w:tcBorders>
              <w:top w:val="single" w:sz="4" w:space="0" w:color="auto"/>
              <w:left w:val="single" w:sz="4" w:space="0" w:color="auto"/>
              <w:bottom w:val="single" w:sz="4" w:space="0" w:color="auto"/>
              <w:right w:val="single" w:sz="4" w:space="0" w:color="auto"/>
            </w:tcBorders>
          </w:tcPr>
          <w:p w:rsidR="00B35421" w:rsidRPr="00BC2ED9" w:rsidRDefault="005966E7" w:rsidP="00DE3FAF">
            <w:pPr>
              <w:ind w:right="-103"/>
              <w:jc w:val="center"/>
              <w:rPr>
                <w:sz w:val="22"/>
                <w:szCs w:val="22"/>
                <w:highlight w:val="yellow"/>
                <w:lang w:val="bg-BG"/>
              </w:rPr>
            </w:pPr>
            <w:r w:rsidRPr="00070213">
              <w:rPr>
                <w:sz w:val="22"/>
                <w:szCs w:val="22"/>
                <w:lang w:val="bg-BG"/>
              </w:rPr>
              <w:t>Не се приема</w:t>
            </w:r>
          </w:p>
        </w:tc>
        <w:tc>
          <w:tcPr>
            <w:tcW w:w="4380" w:type="dxa"/>
            <w:tcBorders>
              <w:top w:val="single" w:sz="4" w:space="0" w:color="auto"/>
              <w:left w:val="single" w:sz="4" w:space="0" w:color="auto"/>
              <w:bottom w:val="single" w:sz="4" w:space="0" w:color="auto"/>
              <w:right w:val="single" w:sz="4" w:space="0" w:color="auto"/>
            </w:tcBorders>
          </w:tcPr>
          <w:p w:rsidR="00375A74" w:rsidRPr="00070213" w:rsidRDefault="00375A74" w:rsidP="00923D14">
            <w:pPr>
              <w:pStyle w:val="NormalWeb"/>
              <w:spacing w:before="0" w:beforeAutospacing="0" w:after="0" w:afterAutospacing="0"/>
              <w:jc w:val="both"/>
              <w:rPr>
                <w:sz w:val="22"/>
                <w:szCs w:val="22"/>
              </w:rPr>
            </w:pPr>
            <w:r w:rsidRPr="00070213">
              <w:rPr>
                <w:sz w:val="22"/>
                <w:szCs w:val="22"/>
              </w:rPr>
              <w:t>К</w:t>
            </w:r>
            <w:r w:rsidR="000D199A" w:rsidRPr="00070213">
              <w:rPr>
                <w:sz w:val="22"/>
                <w:szCs w:val="22"/>
              </w:rPr>
              <w:t>ъм настоящия момент покритието на стр</w:t>
            </w:r>
            <w:r w:rsidR="00923D14" w:rsidRPr="00070213">
              <w:rPr>
                <w:sz w:val="22"/>
                <w:szCs w:val="22"/>
              </w:rPr>
              <w:t>аната с кадастрална карта е 80%, но все още има т</w:t>
            </w:r>
            <w:r w:rsidR="000D199A" w:rsidRPr="00070213">
              <w:rPr>
                <w:sz w:val="22"/>
                <w:szCs w:val="22"/>
              </w:rPr>
              <w:t>еритории, за които няма</w:t>
            </w:r>
            <w:r w:rsidR="00923D14" w:rsidRPr="00394C5D">
              <w:rPr>
                <w:sz w:val="22"/>
                <w:szCs w:val="22"/>
              </w:rPr>
              <w:t xml:space="preserve"> одобрена кадастрална карта</w:t>
            </w:r>
            <w:r w:rsidR="000D199A" w:rsidRPr="00394C5D">
              <w:rPr>
                <w:sz w:val="22"/>
                <w:szCs w:val="22"/>
              </w:rPr>
              <w:t>. Поради това е необходимо съществува</w:t>
            </w:r>
            <w:r w:rsidR="00923D14" w:rsidRPr="001455CC">
              <w:rPr>
                <w:sz w:val="22"/>
                <w:szCs w:val="22"/>
              </w:rPr>
              <w:t xml:space="preserve">нето на </w:t>
            </w:r>
            <w:r w:rsidR="000D199A" w:rsidRPr="001455CC">
              <w:rPr>
                <w:sz w:val="22"/>
                <w:szCs w:val="22"/>
              </w:rPr>
              <w:t xml:space="preserve"> преходна разпоредба, която да регламентира </w:t>
            </w:r>
            <w:r w:rsidR="00923D14" w:rsidRPr="001455CC">
              <w:rPr>
                <w:sz w:val="22"/>
                <w:szCs w:val="22"/>
              </w:rPr>
              <w:t xml:space="preserve">възможността за използване на </w:t>
            </w:r>
            <w:r w:rsidRPr="000C225E">
              <w:rPr>
                <w:sz w:val="22"/>
                <w:szCs w:val="22"/>
              </w:rPr>
              <w:t xml:space="preserve">наличната </w:t>
            </w:r>
            <w:r w:rsidR="00923D14" w:rsidRPr="000C225E">
              <w:rPr>
                <w:sz w:val="22"/>
                <w:szCs w:val="22"/>
              </w:rPr>
              <w:t xml:space="preserve"> </w:t>
            </w:r>
            <w:r w:rsidR="000D199A" w:rsidRPr="000C225E">
              <w:rPr>
                <w:sz w:val="22"/>
                <w:szCs w:val="22"/>
              </w:rPr>
              <w:t>кадастрална</w:t>
            </w:r>
            <w:r w:rsidR="00923D14" w:rsidRPr="00070213">
              <w:rPr>
                <w:sz w:val="22"/>
                <w:szCs w:val="22"/>
              </w:rPr>
              <w:t xml:space="preserve"> основа</w:t>
            </w:r>
            <w:r w:rsidRPr="00070213">
              <w:rPr>
                <w:sz w:val="22"/>
                <w:szCs w:val="22"/>
              </w:rPr>
              <w:t xml:space="preserve"> – кадастрални планове или </w:t>
            </w:r>
            <w:r w:rsidR="008F58BD" w:rsidRPr="00070213">
              <w:rPr>
                <w:sz w:val="22"/>
                <w:szCs w:val="22"/>
              </w:rPr>
              <w:t>и планове, одобрени по реда на ЗСПЗЗ и ЗВСГЗГФ</w:t>
            </w:r>
            <w:r w:rsidRPr="00070213">
              <w:rPr>
                <w:sz w:val="22"/>
                <w:szCs w:val="22"/>
              </w:rPr>
              <w:t>.</w:t>
            </w:r>
          </w:p>
          <w:p w:rsidR="000D199A" w:rsidRPr="00BC2ED9" w:rsidRDefault="000D199A" w:rsidP="003F1B47">
            <w:pPr>
              <w:pStyle w:val="NormalWeb"/>
              <w:spacing w:before="0" w:beforeAutospacing="0" w:after="0" w:afterAutospacing="0"/>
              <w:jc w:val="both"/>
              <w:rPr>
                <w:sz w:val="22"/>
                <w:szCs w:val="22"/>
              </w:rPr>
            </w:pPr>
            <w:r w:rsidRPr="00070213">
              <w:rPr>
                <w:sz w:val="22"/>
                <w:szCs w:val="22"/>
              </w:rPr>
              <w:lastRenderedPageBreak/>
              <w:t>В противен случай се създава необосновано задължение</w:t>
            </w:r>
            <w:r w:rsidR="00923D14" w:rsidRPr="00070213">
              <w:rPr>
                <w:sz w:val="22"/>
                <w:szCs w:val="22"/>
              </w:rPr>
              <w:t xml:space="preserve">, преди изработване на специализираната карта да се </w:t>
            </w:r>
            <w:r w:rsidR="00375A74" w:rsidRPr="00070213">
              <w:rPr>
                <w:sz w:val="22"/>
                <w:szCs w:val="22"/>
              </w:rPr>
              <w:t xml:space="preserve">изработи </w:t>
            </w:r>
            <w:r w:rsidR="00923D14" w:rsidRPr="00070213">
              <w:rPr>
                <w:sz w:val="22"/>
                <w:szCs w:val="22"/>
              </w:rPr>
              <w:t xml:space="preserve">кадастрална карта. </w:t>
            </w:r>
            <w:r w:rsidR="00375A74" w:rsidRPr="00070213">
              <w:rPr>
                <w:sz w:val="22"/>
                <w:szCs w:val="22"/>
              </w:rPr>
              <w:t>Следва да се има предвид, че съгласно чл.</w:t>
            </w:r>
            <w:r w:rsidR="00BF5DE0" w:rsidRPr="00070213">
              <w:rPr>
                <w:sz w:val="22"/>
                <w:szCs w:val="22"/>
              </w:rPr>
              <w:t xml:space="preserve"> </w:t>
            </w:r>
            <w:r w:rsidR="008F58BD" w:rsidRPr="00070213">
              <w:rPr>
                <w:sz w:val="22"/>
                <w:szCs w:val="22"/>
              </w:rPr>
              <w:t>35а, ал. 1 от ЗКИР</w:t>
            </w:r>
            <w:r w:rsidR="00375A74" w:rsidRPr="00070213">
              <w:rPr>
                <w:sz w:val="22"/>
                <w:szCs w:val="22"/>
              </w:rPr>
              <w:t>, при наличие на кадастрален план или</w:t>
            </w:r>
            <w:r w:rsidR="008F58BD" w:rsidRPr="00070213">
              <w:rPr>
                <w:sz w:val="22"/>
                <w:szCs w:val="22"/>
                <w:lang w:eastAsia="en-US"/>
              </w:rPr>
              <w:t xml:space="preserve"> </w:t>
            </w:r>
            <w:r w:rsidR="008F58BD" w:rsidRPr="00070213">
              <w:rPr>
                <w:sz w:val="22"/>
                <w:szCs w:val="22"/>
              </w:rPr>
              <w:t>планове, одобрени по реда на ЗСПЗЗ и ЗВСГЗГФ</w:t>
            </w:r>
            <w:r w:rsidR="003F1B47" w:rsidRPr="00070213">
              <w:rPr>
                <w:sz w:val="22"/>
                <w:szCs w:val="22"/>
              </w:rPr>
              <w:t>,</w:t>
            </w:r>
            <w:r w:rsidR="00375A74" w:rsidRPr="00070213">
              <w:rPr>
                <w:sz w:val="22"/>
                <w:szCs w:val="22"/>
              </w:rPr>
              <w:t xml:space="preserve"> е недопустимо </w:t>
            </w:r>
            <w:r w:rsidR="003F1B47" w:rsidRPr="00070213">
              <w:rPr>
                <w:sz w:val="22"/>
                <w:szCs w:val="22"/>
              </w:rPr>
              <w:t xml:space="preserve">да се </w:t>
            </w:r>
            <w:r w:rsidR="00375A74" w:rsidRPr="00070213">
              <w:rPr>
                <w:sz w:val="22"/>
                <w:szCs w:val="22"/>
              </w:rPr>
              <w:t xml:space="preserve">възлага изработването на кадастрална карта </w:t>
            </w:r>
            <w:r w:rsidR="008F58BD" w:rsidRPr="00070213">
              <w:rPr>
                <w:sz w:val="22"/>
                <w:szCs w:val="22"/>
              </w:rPr>
              <w:t>за един или група имоти</w:t>
            </w:r>
            <w:r w:rsidR="00375A74" w:rsidRPr="00070213">
              <w:rPr>
                <w:sz w:val="22"/>
                <w:szCs w:val="22"/>
              </w:rPr>
              <w:t xml:space="preserve">. </w:t>
            </w:r>
            <w:r w:rsidR="00923D14" w:rsidRPr="00070213">
              <w:rPr>
                <w:sz w:val="22"/>
                <w:szCs w:val="22"/>
              </w:rPr>
              <w:t>Това</w:t>
            </w:r>
            <w:r w:rsidR="008F58BD" w:rsidRPr="00070213">
              <w:rPr>
                <w:sz w:val="22"/>
                <w:szCs w:val="22"/>
              </w:rPr>
              <w:t xml:space="preserve"> ще</w:t>
            </w:r>
            <w:r w:rsidR="00923D14" w:rsidRPr="00070213">
              <w:rPr>
                <w:sz w:val="22"/>
                <w:szCs w:val="22"/>
              </w:rPr>
              <w:t xml:space="preserve"> </w:t>
            </w:r>
            <w:r w:rsidR="00375A74" w:rsidRPr="00070213">
              <w:rPr>
                <w:sz w:val="22"/>
                <w:szCs w:val="22"/>
              </w:rPr>
              <w:t>наложи възлагане изработване на кадастрална карта по реда на чл. 35 от ЗКИР, което се извършва по  реда на ЗОП и несъмнено ще утежни и забави необосновано процеса по изработване на специализирана карта.</w:t>
            </w:r>
          </w:p>
        </w:tc>
      </w:tr>
      <w:tr w:rsidR="00B35421" w:rsidRPr="00070213" w:rsidTr="00B35421">
        <w:tc>
          <w:tcPr>
            <w:tcW w:w="2610" w:type="dxa"/>
            <w:vMerge/>
            <w:tcBorders>
              <w:left w:val="single" w:sz="4" w:space="0" w:color="auto"/>
              <w:right w:val="single" w:sz="4" w:space="0" w:color="auto"/>
            </w:tcBorders>
            <w:shd w:val="clear" w:color="auto" w:fill="D0CECE" w:themeFill="background2" w:themeFillShade="E6"/>
          </w:tcPr>
          <w:p w:rsidR="00B35421" w:rsidRPr="00BC2ED9" w:rsidRDefault="00B35421" w:rsidP="00AC192C">
            <w:pPr>
              <w:jc w:val="both"/>
              <w:rPr>
                <w:b/>
                <w:sz w:val="22"/>
                <w:szCs w:val="22"/>
                <w:lang w:val="bg-BG"/>
              </w:rPr>
            </w:pPr>
          </w:p>
        </w:tc>
        <w:tc>
          <w:tcPr>
            <w:tcW w:w="6102" w:type="dxa"/>
            <w:tcBorders>
              <w:top w:val="single" w:sz="4" w:space="0" w:color="auto"/>
              <w:left w:val="single" w:sz="4" w:space="0" w:color="auto"/>
              <w:bottom w:val="single" w:sz="4" w:space="0" w:color="auto"/>
              <w:right w:val="single" w:sz="4" w:space="0" w:color="auto"/>
            </w:tcBorders>
          </w:tcPr>
          <w:p w:rsidR="00B35421" w:rsidRPr="00BC2ED9" w:rsidRDefault="00B35421" w:rsidP="00AC192C">
            <w:pPr>
              <w:jc w:val="both"/>
              <w:rPr>
                <w:sz w:val="22"/>
                <w:szCs w:val="22"/>
                <w:lang w:val="bg-BG"/>
              </w:rPr>
            </w:pPr>
            <w:r w:rsidRPr="00070213">
              <w:rPr>
                <w:sz w:val="22"/>
                <w:szCs w:val="22"/>
                <w:lang w:val="bg-BG"/>
              </w:rPr>
              <w:t>27. В §3, в последното изречение „кадастралните планове“ да се замени с „планове на подземните проводи и съоръжения“.</w:t>
            </w:r>
          </w:p>
        </w:tc>
        <w:tc>
          <w:tcPr>
            <w:tcW w:w="1543" w:type="dxa"/>
            <w:tcBorders>
              <w:top w:val="single" w:sz="4" w:space="0" w:color="auto"/>
              <w:left w:val="single" w:sz="4" w:space="0" w:color="auto"/>
              <w:bottom w:val="single" w:sz="4" w:space="0" w:color="auto"/>
              <w:right w:val="single" w:sz="4" w:space="0" w:color="auto"/>
            </w:tcBorders>
          </w:tcPr>
          <w:p w:rsidR="00B35421" w:rsidRPr="00BC2ED9" w:rsidRDefault="005966E7" w:rsidP="00AB1FDF">
            <w:pPr>
              <w:ind w:right="-103"/>
              <w:jc w:val="center"/>
              <w:rPr>
                <w:sz w:val="22"/>
                <w:szCs w:val="22"/>
                <w:lang w:val="bg-BG"/>
              </w:rPr>
            </w:pPr>
            <w:r w:rsidRPr="00070213">
              <w:rPr>
                <w:sz w:val="22"/>
                <w:szCs w:val="22"/>
                <w:lang w:val="bg-BG"/>
              </w:rPr>
              <w:t>Приема се</w:t>
            </w:r>
            <w:r w:rsidR="00AB1FDF" w:rsidRPr="00070213">
              <w:rPr>
                <w:sz w:val="22"/>
                <w:szCs w:val="22"/>
                <w:lang w:val="bg-BG"/>
              </w:rPr>
              <w:t xml:space="preserve"> с редакция</w:t>
            </w:r>
          </w:p>
        </w:tc>
        <w:tc>
          <w:tcPr>
            <w:tcW w:w="4380" w:type="dxa"/>
            <w:tcBorders>
              <w:top w:val="single" w:sz="4" w:space="0" w:color="auto"/>
              <w:left w:val="single" w:sz="4" w:space="0" w:color="auto"/>
              <w:bottom w:val="single" w:sz="4" w:space="0" w:color="auto"/>
              <w:right w:val="single" w:sz="4" w:space="0" w:color="auto"/>
            </w:tcBorders>
          </w:tcPr>
          <w:p w:rsidR="00B35421" w:rsidRPr="000C225E" w:rsidRDefault="004A2668" w:rsidP="00AB1FDF">
            <w:pPr>
              <w:pStyle w:val="NormalWeb"/>
              <w:spacing w:before="0" w:beforeAutospacing="0" w:after="0" w:afterAutospacing="0"/>
              <w:jc w:val="both"/>
              <w:rPr>
                <w:sz w:val="22"/>
                <w:szCs w:val="22"/>
              </w:rPr>
            </w:pPr>
            <w:r w:rsidRPr="00070213">
              <w:rPr>
                <w:sz w:val="22"/>
                <w:szCs w:val="22"/>
              </w:rPr>
              <w:t xml:space="preserve">Текстът на § 3 кореспондира с § 36 от ПЗР към ЗИД ЗКИР </w:t>
            </w:r>
            <w:r w:rsidRPr="00070213">
              <w:rPr>
                <w:sz w:val="22"/>
                <w:szCs w:val="22"/>
                <w:lang w:val="en-US"/>
              </w:rPr>
              <w:t>(</w:t>
            </w:r>
            <w:r w:rsidRPr="00070213">
              <w:rPr>
                <w:sz w:val="22"/>
                <w:szCs w:val="22"/>
              </w:rPr>
              <w:t>обн. ДВ. бр.57 от 2016 г.</w:t>
            </w:r>
            <w:r w:rsidRPr="00070213">
              <w:rPr>
                <w:sz w:val="22"/>
                <w:szCs w:val="22"/>
                <w:lang w:val="en-US"/>
              </w:rPr>
              <w:t>)</w:t>
            </w:r>
            <w:r w:rsidR="00D6281B" w:rsidRPr="00070213">
              <w:rPr>
                <w:sz w:val="22"/>
                <w:szCs w:val="22"/>
              </w:rPr>
              <w:t xml:space="preserve">, но за яснота </w:t>
            </w:r>
            <w:r w:rsidR="000D5A36" w:rsidRPr="00070213">
              <w:rPr>
                <w:sz w:val="22"/>
                <w:szCs w:val="22"/>
              </w:rPr>
              <w:t xml:space="preserve">след думата „планове“ </w:t>
            </w:r>
            <w:r w:rsidRPr="00394C5D">
              <w:rPr>
                <w:sz w:val="22"/>
                <w:szCs w:val="22"/>
              </w:rPr>
              <w:t xml:space="preserve">се </w:t>
            </w:r>
            <w:r w:rsidR="00AB1FDF" w:rsidRPr="00394C5D">
              <w:rPr>
                <w:sz w:val="22"/>
                <w:szCs w:val="22"/>
              </w:rPr>
              <w:t xml:space="preserve">добавя </w:t>
            </w:r>
            <w:r w:rsidRPr="001455CC">
              <w:rPr>
                <w:sz w:val="22"/>
                <w:szCs w:val="22"/>
              </w:rPr>
              <w:t>текст</w:t>
            </w:r>
            <w:r w:rsidR="00AB1FDF" w:rsidRPr="001455CC">
              <w:rPr>
                <w:sz w:val="22"/>
                <w:szCs w:val="22"/>
              </w:rPr>
              <w:t>ът</w:t>
            </w:r>
            <w:r w:rsidRPr="001455CC">
              <w:rPr>
                <w:sz w:val="22"/>
                <w:szCs w:val="22"/>
              </w:rPr>
              <w:t xml:space="preserve"> „и/или в планове на подземните проводи и съоръжения“</w:t>
            </w:r>
            <w:r w:rsidR="008D45B2" w:rsidRPr="001455CC">
              <w:rPr>
                <w:sz w:val="22"/>
                <w:szCs w:val="22"/>
              </w:rPr>
              <w:t>.</w:t>
            </w:r>
            <w:r w:rsidR="000D5A36" w:rsidRPr="000C225E">
              <w:rPr>
                <w:sz w:val="22"/>
                <w:szCs w:val="22"/>
              </w:rPr>
              <w:t xml:space="preserve"> </w:t>
            </w:r>
            <w:r w:rsidR="008D45B2" w:rsidRPr="000C225E">
              <w:rPr>
                <w:sz w:val="22"/>
                <w:szCs w:val="22"/>
              </w:rPr>
              <w:t>Не всяка община има кадастрални планове на подземните проводи и съоръжения.</w:t>
            </w:r>
          </w:p>
        </w:tc>
      </w:tr>
      <w:tr w:rsidR="00B35421" w:rsidRPr="00070213" w:rsidTr="00B35421">
        <w:tc>
          <w:tcPr>
            <w:tcW w:w="2610" w:type="dxa"/>
            <w:vMerge/>
            <w:tcBorders>
              <w:left w:val="single" w:sz="4" w:space="0" w:color="auto"/>
              <w:right w:val="single" w:sz="4" w:space="0" w:color="auto"/>
            </w:tcBorders>
            <w:shd w:val="clear" w:color="auto" w:fill="D0CECE" w:themeFill="background2" w:themeFillShade="E6"/>
          </w:tcPr>
          <w:p w:rsidR="00B35421" w:rsidRPr="00BC2ED9" w:rsidRDefault="00B35421" w:rsidP="00AC192C">
            <w:pPr>
              <w:jc w:val="both"/>
              <w:rPr>
                <w:b/>
                <w:sz w:val="22"/>
                <w:szCs w:val="22"/>
                <w:lang w:val="bg-BG"/>
              </w:rPr>
            </w:pPr>
          </w:p>
        </w:tc>
        <w:tc>
          <w:tcPr>
            <w:tcW w:w="6102" w:type="dxa"/>
            <w:tcBorders>
              <w:top w:val="single" w:sz="4" w:space="0" w:color="auto"/>
              <w:left w:val="single" w:sz="4" w:space="0" w:color="auto"/>
              <w:bottom w:val="single" w:sz="4" w:space="0" w:color="auto"/>
              <w:right w:val="single" w:sz="4" w:space="0" w:color="auto"/>
            </w:tcBorders>
          </w:tcPr>
          <w:p w:rsidR="00B35421" w:rsidRPr="00BC2ED9" w:rsidRDefault="00B35421" w:rsidP="00AC192C">
            <w:pPr>
              <w:jc w:val="both"/>
              <w:rPr>
                <w:sz w:val="22"/>
                <w:szCs w:val="22"/>
                <w:lang w:val="bg-BG"/>
              </w:rPr>
            </w:pPr>
            <w:r w:rsidRPr="00070213">
              <w:rPr>
                <w:sz w:val="22"/>
                <w:szCs w:val="22"/>
                <w:lang w:val="bg-BG"/>
              </w:rPr>
              <w:t xml:space="preserve">28. В §4 от Преходните и заключителни разпоредби отново се говори за одобряване на формат за записа в цифров вид за специализирани карти в цифров вид, който според авторите на текста явно е различен от този „…одобрен от изпълнителния директор на Агенцията по геодезия, картография и кадастър.“. Напомняме, че със Заповед № РД-13-254/18.07.2016 г. за изменение на формата за обмен на кадастрални данни, съществуващият (за сега единствен) CAD формат е разширен така, че да поддържа подземни проводи и съоръжения съгласно действащата Инструкция и условни знаци за изработване и поддържане на планове на подземни проводи и съоръжения, Издадена от Министерството на строителството и селищното устройство - Главно управление по геодезия, </w:t>
            </w:r>
            <w:r w:rsidRPr="00070213">
              <w:rPr>
                <w:sz w:val="22"/>
                <w:szCs w:val="22"/>
                <w:lang w:val="bg-BG"/>
              </w:rPr>
              <w:lastRenderedPageBreak/>
              <w:t>картография и кадастър през 1984 г. Многократно сме изразявали становище за необходимостта от осъвременяване на тази Инструкция, както и за възприемане на международно приет стандарт за формат за обмен на простра</w:t>
            </w:r>
            <w:r w:rsidRPr="00394C5D">
              <w:rPr>
                <w:sz w:val="22"/>
                <w:szCs w:val="22"/>
                <w:lang w:val="bg-BG"/>
              </w:rPr>
              <w:t>нствена информация по отношение на българския кадастър. Към момента обаче Инструкцията и CAD формата са действащи и при тези факти предложеният текст на §4 буди недоумение. Това е пореден пример, че авторите на проекта за наредба не са запознати с действащ</w:t>
            </w:r>
            <w:r w:rsidRPr="001455CC">
              <w:rPr>
                <w:sz w:val="22"/>
                <w:szCs w:val="22"/>
                <w:lang w:val="bg-BG"/>
              </w:rPr>
              <w:t>ата в момента нормативна уредба в областта на кадастъра.</w:t>
            </w:r>
          </w:p>
        </w:tc>
        <w:tc>
          <w:tcPr>
            <w:tcW w:w="1543" w:type="dxa"/>
            <w:tcBorders>
              <w:top w:val="single" w:sz="4" w:space="0" w:color="auto"/>
              <w:left w:val="single" w:sz="4" w:space="0" w:color="auto"/>
              <w:bottom w:val="single" w:sz="4" w:space="0" w:color="auto"/>
              <w:right w:val="single" w:sz="4" w:space="0" w:color="auto"/>
            </w:tcBorders>
          </w:tcPr>
          <w:p w:rsidR="00B35421" w:rsidRPr="00070213" w:rsidRDefault="00EC57D6" w:rsidP="00AC192C">
            <w:pPr>
              <w:ind w:right="-103"/>
              <w:jc w:val="center"/>
              <w:rPr>
                <w:sz w:val="22"/>
                <w:szCs w:val="22"/>
                <w:lang w:val="bg-BG"/>
              </w:rPr>
            </w:pPr>
            <w:r w:rsidRPr="00070213">
              <w:rPr>
                <w:sz w:val="22"/>
                <w:szCs w:val="22"/>
                <w:lang w:val="bg-BG"/>
              </w:rPr>
              <w:lastRenderedPageBreak/>
              <w:t>Не се приема</w:t>
            </w:r>
          </w:p>
        </w:tc>
        <w:tc>
          <w:tcPr>
            <w:tcW w:w="4380" w:type="dxa"/>
            <w:tcBorders>
              <w:top w:val="single" w:sz="4" w:space="0" w:color="auto"/>
              <w:left w:val="single" w:sz="4" w:space="0" w:color="auto"/>
              <w:bottom w:val="single" w:sz="4" w:space="0" w:color="auto"/>
              <w:right w:val="single" w:sz="4" w:space="0" w:color="auto"/>
            </w:tcBorders>
          </w:tcPr>
          <w:p w:rsidR="00EC57D6" w:rsidRPr="00394C5D" w:rsidRDefault="00EC57D6" w:rsidP="00EC57D6">
            <w:pPr>
              <w:pStyle w:val="NormalWeb"/>
              <w:spacing w:before="0" w:beforeAutospacing="0" w:after="0" w:afterAutospacing="0"/>
              <w:jc w:val="both"/>
              <w:rPr>
                <w:sz w:val="22"/>
                <w:szCs w:val="22"/>
              </w:rPr>
            </w:pPr>
            <w:r w:rsidRPr="00070213">
              <w:rPr>
                <w:sz w:val="22"/>
                <w:szCs w:val="22"/>
              </w:rPr>
              <w:t xml:space="preserve">Текстът е ясен и няма противоречие с нормативната уредба. </w:t>
            </w:r>
          </w:p>
          <w:p w:rsidR="00EC57D6" w:rsidRPr="00070213" w:rsidRDefault="00EC57D6" w:rsidP="00EC57D6">
            <w:pPr>
              <w:pStyle w:val="NormalWeb"/>
              <w:spacing w:before="0" w:beforeAutospacing="0" w:after="0" w:afterAutospacing="0"/>
              <w:jc w:val="both"/>
              <w:rPr>
                <w:sz w:val="22"/>
                <w:szCs w:val="22"/>
              </w:rPr>
            </w:pPr>
            <w:r w:rsidRPr="00394C5D">
              <w:rPr>
                <w:sz w:val="22"/>
                <w:szCs w:val="22"/>
              </w:rPr>
              <w:t>Съгласно чл. 12,</w:t>
            </w:r>
            <w:r w:rsidR="005B6BA2" w:rsidRPr="001455CC">
              <w:rPr>
                <w:sz w:val="22"/>
                <w:szCs w:val="22"/>
              </w:rPr>
              <w:t xml:space="preserve"> </w:t>
            </w:r>
            <w:r w:rsidRPr="001455CC">
              <w:rPr>
                <w:sz w:val="22"/>
                <w:szCs w:val="22"/>
              </w:rPr>
              <w:t>т. 5 от ЗКИР</w:t>
            </w:r>
            <w:r w:rsidR="000D5A36" w:rsidRPr="001455CC">
              <w:rPr>
                <w:sz w:val="22"/>
                <w:szCs w:val="22"/>
              </w:rPr>
              <w:t>,</w:t>
            </w:r>
            <w:r w:rsidRPr="001455CC">
              <w:rPr>
                <w:sz w:val="22"/>
                <w:szCs w:val="22"/>
              </w:rPr>
              <w:t xml:space="preserve"> АГКК разработва формат на записа на цифровите карти и регистрите и на документи и данни към тях, който се одобрява от министъра на регионалното развитие и благоустройството. До одобряване на формата по чл. 12, т. 5 ЗКИР от министъра на регионалното развитие и благоустройството, на основание § 3, ал. 1 от ПЗР на Наредба № РД-02-20-5 от 2016 г. се прил</w:t>
            </w:r>
            <w:r w:rsidRPr="000C225E">
              <w:rPr>
                <w:sz w:val="22"/>
                <w:szCs w:val="22"/>
              </w:rPr>
              <w:t xml:space="preserve">ага формат, одобрен от изпълнителния </w:t>
            </w:r>
            <w:r w:rsidRPr="000C225E">
              <w:rPr>
                <w:sz w:val="22"/>
                <w:szCs w:val="22"/>
              </w:rPr>
              <w:lastRenderedPageBreak/>
              <w:t>директор на Агенцията по геодезия, картография и кадастър.</w:t>
            </w:r>
          </w:p>
        </w:tc>
      </w:tr>
      <w:tr w:rsidR="00B35421" w:rsidRPr="00070213" w:rsidTr="00B35421">
        <w:tc>
          <w:tcPr>
            <w:tcW w:w="2610" w:type="dxa"/>
            <w:vMerge/>
            <w:tcBorders>
              <w:left w:val="single" w:sz="4" w:space="0" w:color="auto"/>
              <w:right w:val="single" w:sz="4" w:space="0" w:color="auto"/>
            </w:tcBorders>
            <w:shd w:val="clear" w:color="auto" w:fill="D0CECE" w:themeFill="background2" w:themeFillShade="E6"/>
          </w:tcPr>
          <w:p w:rsidR="00B35421" w:rsidRPr="00BC2ED9" w:rsidRDefault="00B35421" w:rsidP="00AC192C">
            <w:pPr>
              <w:jc w:val="both"/>
              <w:rPr>
                <w:b/>
                <w:sz w:val="22"/>
                <w:szCs w:val="22"/>
                <w:lang w:val="bg-BG"/>
              </w:rPr>
            </w:pPr>
          </w:p>
        </w:tc>
        <w:tc>
          <w:tcPr>
            <w:tcW w:w="6102" w:type="dxa"/>
            <w:tcBorders>
              <w:top w:val="single" w:sz="4" w:space="0" w:color="auto"/>
              <w:left w:val="single" w:sz="4" w:space="0" w:color="auto"/>
              <w:bottom w:val="single" w:sz="4" w:space="0" w:color="auto"/>
              <w:right w:val="single" w:sz="4" w:space="0" w:color="auto"/>
            </w:tcBorders>
          </w:tcPr>
          <w:p w:rsidR="00B35421" w:rsidRPr="00BC2ED9" w:rsidRDefault="00B35421" w:rsidP="00AC192C">
            <w:pPr>
              <w:jc w:val="both"/>
              <w:rPr>
                <w:sz w:val="22"/>
                <w:szCs w:val="22"/>
                <w:lang w:val="bg-BG"/>
              </w:rPr>
            </w:pPr>
            <w:r w:rsidRPr="00070213">
              <w:rPr>
                <w:sz w:val="22"/>
                <w:szCs w:val="22"/>
                <w:lang w:val="bg-BG"/>
              </w:rPr>
              <w:t>29. Не се разбира какво имат предвид авторите под „запазват действието си“ в §5, тъй като след одобряване на наредбата те трябва да бъдат преработени защото ще има нови условни знаци и нов формат.</w:t>
            </w:r>
          </w:p>
        </w:tc>
        <w:tc>
          <w:tcPr>
            <w:tcW w:w="1543" w:type="dxa"/>
            <w:tcBorders>
              <w:top w:val="single" w:sz="4" w:space="0" w:color="auto"/>
              <w:left w:val="single" w:sz="4" w:space="0" w:color="auto"/>
              <w:bottom w:val="single" w:sz="4" w:space="0" w:color="auto"/>
              <w:right w:val="single" w:sz="4" w:space="0" w:color="auto"/>
            </w:tcBorders>
          </w:tcPr>
          <w:p w:rsidR="00B35421" w:rsidRPr="00BC2ED9" w:rsidRDefault="005966E7" w:rsidP="00B14B3F">
            <w:pPr>
              <w:ind w:right="-103"/>
              <w:jc w:val="center"/>
              <w:rPr>
                <w:sz w:val="22"/>
                <w:szCs w:val="22"/>
                <w:lang w:val="bg-BG"/>
              </w:rPr>
            </w:pPr>
            <w:r w:rsidRPr="00070213">
              <w:rPr>
                <w:sz w:val="22"/>
                <w:szCs w:val="22"/>
                <w:lang w:val="bg-BG"/>
              </w:rPr>
              <w:t>Не се приема</w:t>
            </w:r>
          </w:p>
        </w:tc>
        <w:tc>
          <w:tcPr>
            <w:tcW w:w="4380" w:type="dxa"/>
            <w:tcBorders>
              <w:top w:val="single" w:sz="4" w:space="0" w:color="auto"/>
              <w:left w:val="single" w:sz="4" w:space="0" w:color="auto"/>
              <w:bottom w:val="single" w:sz="4" w:space="0" w:color="auto"/>
              <w:right w:val="single" w:sz="4" w:space="0" w:color="auto"/>
            </w:tcBorders>
          </w:tcPr>
          <w:p w:rsidR="00B35421" w:rsidRPr="00BC2ED9" w:rsidRDefault="005966E7" w:rsidP="00AC192C">
            <w:pPr>
              <w:pStyle w:val="NormalWeb"/>
              <w:spacing w:before="0" w:beforeAutospacing="0" w:after="0" w:afterAutospacing="0"/>
              <w:jc w:val="both"/>
              <w:rPr>
                <w:sz w:val="22"/>
                <w:szCs w:val="22"/>
              </w:rPr>
            </w:pPr>
            <w:r w:rsidRPr="00070213">
              <w:rPr>
                <w:sz w:val="22"/>
                <w:szCs w:val="22"/>
              </w:rPr>
              <w:t>По наше мнение не се налага преработване.</w:t>
            </w:r>
          </w:p>
        </w:tc>
      </w:tr>
      <w:tr w:rsidR="00B35421" w:rsidRPr="00070213" w:rsidTr="00B35421">
        <w:tc>
          <w:tcPr>
            <w:tcW w:w="2610" w:type="dxa"/>
            <w:vMerge/>
            <w:tcBorders>
              <w:left w:val="single" w:sz="4" w:space="0" w:color="auto"/>
              <w:right w:val="single" w:sz="4" w:space="0" w:color="auto"/>
            </w:tcBorders>
            <w:shd w:val="clear" w:color="auto" w:fill="D0CECE" w:themeFill="background2" w:themeFillShade="E6"/>
          </w:tcPr>
          <w:p w:rsidR="00B35421" w:rsidRPr="00BC2ED9" w:rsidRDefault="00B35421" w:rsidP="00AC192C">
            <w:pPr>
              <w:jc w:val="both"/>
              <w:rPr>
                <w:b/>
                <w:sz w:val="22"/>
                <w:szCs w:val="22"/>
                <w:lang w:val="bg-BG"/>
              </w:rPr>
            </w:pPr>
          </w:p>
        </w:tc>
        <w:tc>
          <w:tcPr>
            <w:tcW w:w="6102" w:type="dxa"/>
            <w:tcBorders>
              <w:top w:val="single" w:sz="4" w:space="0" w:color="auto"/>
              <w:left w:val="single" w:sz="4" w:space="0" w:color="auto"/>
              <w:bottom w:val="single" w:sz="4" w:space="0" w:color="auto"/>
              <w:right w:val="single" w:sz="4" w:space="0" w:color="auto"/>
            </w:tcBorders>
          </w:tcPr>
          <w:p w:rsidR="00B35421" w:rsidRPr="00BC2ED9" w:rsidRDefault="00B35421" w:rsidP="00AC192C">
            <w:pPr>
              <w:jc w:val="both"/>
              <w:rPr>
                <w:sz w:val="22"/>
                <w:szCs w:val="22"/>
                <w:lang w:val="bg-BG"/>
              </w:rPr>
            </w:pPr>
            <w:r w:rsidRPr="00070213">
              <w:rPr>
                <w:sz w:val="22"/>
                <w:szCs w:val="22"/>
                <w:lang w:val="bg-BG"/>
              </w:rPr>
              <w:t>30. В §6 от Преходните и заключителни разпоредби се определя срок до 1 година от влизането в сила на предлаганата наредба, в който операторите на електронни съобщителни мрежи не са създали специализирани карти и регистри по реда на отменената Наредба № 18 от 2005 г. да ги създадат по реда на тази наредба. Съгласно §23 (2) от Преходни и Заключителни разпоредби ЗИД на ЗКИР, обн. - ДВ, бр. 41 от 2019 г., в сила от 22.08.2019 г.) „В тримесечен срок от влизането в сила на този закон експлоатационните дружества, които набират и поддържат в актуално състояние специализирани данни по чл. 32, ал. 1, т. 1, буква "б", са длъжни да възложат изработването на специализирани карти, регистри и информационни системи по чл. 32, ал. 1, т. 2.“. Тези извънредно къси и амбициозни срокове в основни и подзаконови нормативни документи показват дълбоко непознаване на материята и липсата на каквато и да било оценка на въздействието на предлаганите текстове върху цялата плеяда от задължени организации и специалисти, които ще трябва да изпълняват тези задължения.</w:t>
            </w:r>
          </w:p>
        </w:tc>
        <w:tc>
          <w:tcPr>
            <w:tcW w:w="1543" w:type="dxa"/>
            <w:tcBorders>
              <w:top w:val="single" w:sz="4" w:space="0" w:color="auto"/>
              <w:left w:val="single" w:sz="4" w:space="0" w:color="auto"/>
              <w:bottom w:val="single" w:sz="4" w:space="0" w:color="auto"/>
              <w:right w:val="single" w:sz="4" w:space="0" w:color="auto"/>
            </w:tcBorders>
          </w:tcPr>
          <w:p w:rsidR="00B35421" w:rsidRPr="00BC2ED9" w:rsidRDefault="005966E7" w:rsidP="00B14B3F">
            <w:pPr>
              <w:ind w:right="-103"/>
              <w:jc w:val="center"/>
              <w:rPr>
                <w:sz w:val="22"/>
                <w:szCs w:val="22"/>
                <w:lang w:val="bg-BG"/>
              </w:rPr>
            </w:pPr>
            <w:r w:rsidRPr="00070213">
              <w:rPr>
                <w:sz w:val="22"/>
                <w:szCs w:val="22"/>
                <w:lang w:val="bg-BG"/>
              </w:rPr>
              <w:t>Приема се</w:t>
            </w:r>
          </w:p>
        </w:tc>
        <w:tc>
          <w:tcPr>
            <w:tcW w:w="4380" w:type="dxa"/>
            <w:tcBorders>
              <w:top w:val="single" w:sz="4" w:space="0" w:color="auto"/>
              <w:left w:val="single" w:sz="4" w:space="0" w:color="auto"/>
              <w:bottom w:val="single" w:sz="4" w:space="0" w:color="auto"/>
              <w:right w:val="single" w:sz="4" w:space="0" w:color="auto"/>
            </w:tcBorders>
          </w:tcPr>
          <w:p w:rsidR="00B35421" w:rsidRPr="00BC2ED9" w:rsidRDefault="005966E7" w:rsidP="00AC192C">
            <w:pPr>
              <w:pStyle w:val="NormalWeb"/>
              <w:spacing w:before="0" w:beforeAutospacing="0" w:after="0" w:afterAutospacing="0"/>
              <w:jc w:val="both"/>
              <w:rPr>
                <w:sz w:val="22"/>
                <w:szCs w:val="22"/>
              </w:rPr>
            </w:pPr>
            <w:r w:rsidRPr="00070213">
              <w:rPr>
                <w:sz w:val="22"/>
                <w:szCs w:val="22"/>
              </w:rPr>
              <w:t>Срокът е удължен на 2 години.</w:t>
            </w:r>
          </w:p>
        </w:tc>
      </w:tr>
      <w:tr w:rsidR="00B35421" w:rsidRPr="00070213" w:rsidTr="00B35421">
        <w:tc>
          <w:tcPr>
            <w:tcW w:w="2610" w:type="dxa"/>
            <w:vMerge/>
            <w:tcBorders>
              <w:left w:val="single" w:sz="4" w:space="0" w:color="auto"/>
              <w:right w:val="single" w:sz="4" w:space="0" w:color="auto"/>
            </w:tcBorders>
            <w:shd w:val="clear" w:color="auto" w:fill="D0CECE" w:themeFill="background2" w:themeFillShade="E6"/>
          </w:tcPr>
          <w:p w:rsidR="00B35421" w:rsidRPr="00BC2ED9" w:rsidRDefault="00B35421" w:rsidP="00AC192C">
            <w:pPr>
              <w:jc w:val="both"/>
              <w:rPr>
                <w:b/>
                <w:sz w:val="22"/>
                <w:szCs w:val="22"/>
                <w:lang w:val="bg-BG"/>
              </w:rPr>
            </w:pPr>
          </w:p>
        </w:tc>
        <w:tc>
          <w:tcPr>
            <w:tcW w:w="6102" w:type="dxa"/>
            <w:tcBorders>
              <w:top w:val="single" w:sz="4" w:space="0" w:color="auto"/>
              <w:left w:val="single" w:sz="4" w:space="0" w:color="auto"/>
              <w:bottom w:val="single" w:sz="4" w:space="0" w:color="auto"/>
              <w:right w:val="single" w:sz="4" w:space="0" w:color="auto"/>
            </w:tcBorders>
          </w:tcPr>
          <w:p w:rsidR="00B35421" w:rsidRPr="00BC2ED9" w:rsidRDefault="00B35421" w:rsidP="00AC192C">
            <w:pPr>
              <w:jc w:val="both"/>
              <w:rPr>
                <w:sz w:val="22"/>
                <w:szCs w:val="22"/>
                <w:lang w:val="bg-BG"/>
              </w:rPr>
            </w:pPr>
            <w:r w:rsidRPr="00070213">
              <w:rPr>
                <w:sz w:val="22"/>
                <w:szCs w:val="22"/>
                <w:lang w:val="bg-BG"/>
              </w:rPr>
              <w:t xml:space="preserve">31. В Глава втора като част от съдържанието на специализираните карти и регистри естествено са отбелязани „трасета на разположени съобщителни кабели или на елементи </w:t>
            </w:r>
            <w:r w:rsidRPr="00070213">
              <w:rPr>
                <w:sz w:val="22"/>
                <w:szCs w:val="22"/>
                <w:lang w:val="bg-BG"/>
              </w:rPr>
              <w:lastRenderedPageBreak/>
              <w:t>от електронни съобщителни мрежи в съществуваща подземна физическа инфраструктура и въздушно разположени съобщителни кабели и/или елементи от електронни съобщителни мрежи“. Не е естествено обаче за такива трасета да не е предвиден нито един линеен условен знак в Приложение № 1, в което се забелязват предимно точкови условни знаци и съвсем ограничен брой (5) линейни знаци! Прави впечатление липсата на класификация на различните кабелни съобщителни мрежи в това приложение. Предлаганото оформление на „Графични символни означения на елементите на електронни съобщителни мрежи“ е фрапиращо непрофесионално от картографска гледна точка и не е съобразено с елементарни правила за формиране на картографска знакова система! Примерите за лоши решения са толкова много, че забележките представяме като приложение към настоящото становище. Изказваме категорично мне</w:t>
            </w:r>
            <w:r w:rsidRPr="00394C5D">
              <w:rPr>
                <w:sz w:val="22"/>
                <w:szCs w:val="22"/>
                <w:lang w:val="bg-BG"/>
              </w:rPr>
              <w:t>ние, че Приложение № 1 следва да се изработи изцяло наново за да бъде съобразено както с предметната област на електронната съобщителна мрежа, така и със съвременните изисквания за картографско оформление на знакова система за специализирана карта и географска информационна система.</w:t>
            </w:r>
          </w:p>
        </w:tc>
        <w:tc>
          <w:tcPr>
            <w:tcW w:w="1543" w:type="dxa"/>
            <w:tcBorders>
              <w:top w:val="single" w:sz="4" w:space="0" w:color="auto"/>
              <w:left w:val="single" w:sz="4" w:space="0" w:color="auto"/>
              <w:bottom w:val="single" w:sz="4" w:space="0" w:color="auto"/>
              <w:right w:val="single" w:sz="4" w:space="0" w:color="auto"/>
            </w:tcBorders>
          </w:tcPr>
          <w:p w:rsidR="00B35421" w:rsidRPr="00BC2ED9" w:rsidRDefault="00DA7103" w:rsidP="00070213">
            <w:pPr>
              <w:ind w:right="-103"/>
              <w:jc w:val="center"/>
              <w:rPr>
                <w:sz w:val="22"/>
                <w:szCs w:val="22"/>
                <w:lang w:val="bg-BG"/>
              </w:rPr>
            </w:pPr>
            <w:r w:rsidRPr="00BC2ED9">
              <w:rPr>
                <w:sz w:val="22"/>
                <w:szCs w:val="22"/>
                <w:lang w:val="bg-BG"/>
              </w:rPr>
              <w:lastRenderedPageBreak/>
              <w:t>Приема се по принцип</w:t>
            </w:r>
            <w:r w:rsidRPr="00981659">
              <w:rPr>
                <w:sz w:val="22"/>
                <w:szCs w:val="22"/>
                <w:lang w:val="bg-BG"/>
              </w:rPr>
              <w:t xml:space="preserve"> </w:t>
            </w:r>
          </w:p>
        </w:tc>
        <w:tc>
          <w:tcPr>
            <w:tcW w:w="4380" w:type="dxa"/>
            <w:tcBorders>
              <w:top w:val="single" w:sz="4" w:space="0" w:color="auto"/>
              <w:left w:val="single" w:sz="4" w:space="0" w:color="auto"/>
              <w:bottom w:val="single" w:sz="4" w:space="0" w:color="auto"/>
              <w:right w:val="single" w:sz="4" w:space="0" w:color="auto"/>
            </w:tcBorders>
          </w:tcPr>
          <w:p w:rsidR="00DA7103" w:rsidRPr="00BC2ED9" w:rsidRDefault="00070213" w:rsidP="00981659">
            <w:pPr>
              <w:pStyle w:val="NormalWeb"/>
              <w:spacing w:before="0" w:beforeAutospacing="0" w:after="0" w:afterAutospacing="0"/>
              <w:jc w:val="both"/>
              <w:rPr>
                <w:sz w:val="22"/>
                <w:szCs w:val="22"/>
              </w:rPr>
            </w:pPr>
            <w:r w:rsidRPr="00981659">
              <w:rPr>
                <w:sz w:val="22"/>
                <w:szCs w:val="22"/>
                <w:lang w:val="en-GB"/>
              </w:rPr>
              <w:t xml:space="preserve">В Приложение № 1 е </w:t>
            </w:r>
            <w:r w:rsidR="00394C5D" w:rsidRPr="00981659">
              <w:rPr>
                <w:sz w:val="22"/>
                <w:szCs w:val="22"/>
              </w:rPr>
              <w:t>добавен</w:t>
            </w:r>
            <w:r w:rsidR="00394C5D" w:rsidRPr="00981659">
              <w:rPr>
                <w:sz w:val="22"/>
                <w:szCs w:val="22"/>
                <w:lang w:val="en-GB"/>
              </w:rPr>
              <w:t xml:space="preserve"> </w:t>
            </w:r>
            <w:r w:rsidRPr="00981659">
              <w:rPr>
                <w:sz w:val="22"/>
                <w:szCs w:val="22"/>
                <w:lang w:val="en-GB"/>
              </w:rPr>
              <w:t>знак за кабелна линия.</w:t>
            </w:r>
          </w:p>
        </w:tc>
      </w:tr>
      <w:tr w:rsidR="00B35421" w:rsidRPr="00070213" w:rsidTr="00B35421">
        <w:tc>
          <w:tcPr>
            <w:tcW w:w="2610" w:type="dxa"/>
            <w:vMerge/>
            <w:tcBorders>
              <w:left w:val="single" w:sz="4" w:space="0" w:color="auto"/>
              <w:right w:val="single" w:sz="4" w:space="0" w:color="auto"/>
            </w:tcBorders>
            <w:shd w:val="clear" w:color="auto" w:fill="D0CECE" w:themeFill="background2" w:themeFillShade="E6"/>
          </w:tcPr>
          <w:p w:rsidR="00B35421" w:rsidRPr="00BC2ED9" w:rsidRDefault="00B35421" w:rsidP="00AC192C">
            <w:pPr>
              <w:jc w:val="both"/>
              <w:rPr>
                <w:b/>
                <w:sz w:val="22"/>
                <w:szCs w:val="22"/>
                <w:lang w:val="bg-BG"/>
              </w:rPr>
            </w:pPr>
          </w:p>
        </w:tc>
        <w:tc>
          <w:tcPr>
            <w:tcW w:w="6102" w:type="dxa"/>
            <w:tcBorders>
              <w:top w:val="single" w:sz="4" w:space="0" w:color="auto"/>
              <w:left w:val="single" w:sz="4" w:space="0" w:color="auto"/>
              <w:bottom w:val="single" w:sz="4" w:space="0" w:color="auto"/>
              <w:right w:val="single" w:sz="4" w:space="0" w:color="auto"/>
            </w:tcBorders>
          </w:tcPr>
          <w:p w:rsidR="00B35421" w:rsidRPr="00BC2ED9" w:rsidRDefault="00B35421" w:rsidP="00AC192C">
            <w:pPr>
              <w:jc w:val="both"/>
              <w:rPr>
                <w:sz w:val="22"/>
                <w:szCs w:val="22"/>
                <w:lang w:val="bg-BG"/>
              </w:rPr>
            </w:pPr>
            <w:r w:rsidRPr="00070213">
              <w:rPr>
                <w:sz w:val="22"/>
                <w:szCs w:val="22"/>
                <w:lang w:val="bg-BG"/>
              </w:rPr>
              <w:t>В обобщение може да се стигне до заключението, че създаването на специализирани карти по тази наредба е интердисциплинарна дейност и не бива нито авторите на тази наредба и техните колеги нито ние – геодезистите да си мислим, че бихме могли самостоятелно да създадем специализирани карти по изискванията на променения ЗКИР.</w:t>
            </w:r>
          </w:p>
        </w:tc>
        <w:tc>
          <w:tcPr>
            <w:tcW w:w="1543" w:type="dxa"/>
            <w:tcBorders>
              <w:top w:val="single" w:sz="4" w:space="0" w:color="auto"/>
              <w:left w:val="single" w:sz="4" w:space="0" w:color="auto"/>
              <w:bottom w:val="single" w:sz="4" w:space="0" w:color="auto"/>
              <w:right w:val="single" w:sz="4" w:space="0" w:color="auto"/>
            </w:tcBorders>
          </w:tcPr>
          <w:p w:rsidR="00B35421" w:rsidRPr="00BC2ED9" w:rsidRDefault="002C1C4D" w:rsidP="004C307F">
            <w:pPr>
              <w:ind w:right="-51"/>
              <w:jc w:val="center"/>
              <w:rPr>
                <w:sz w:val="22"/>
                <w:szCs w:val="22"/>
                <w:lang w:val="bg-BG"/>
              </w:rPr>
            </w:pPr>
            <w:r>
              <w:rPr>
                <w:sz w:val="22"/>
                <w:szCs w:val="22"/>
                <w:lang w:val="bg-BG"/>
              </w:rPr>
              <w:t>Приема се по принцип</w:t>
            </w:r>
          </w:p>
        </w:tc>
        <w:tc>
          <w:tcPr>
            <w:tcW w:w="4380" w:type="dxa"/>
            <w:tcBorders>
              <w:top w:val="single" w:sz="4" w:space="0" w:color="auto"/>
              <w:left w:val="single" w:sz="4" w:space="0" w:color="auto"/>
              <w:bottom w:val="single" w:sz="4" w:space="0" w:color="auto"/>
              <w:right w:val="single" w:sz="4" w:space="0" w:color="auto"/>
            </w:tcBorders>
          </w:tcPr>
          <w:p w:rsidR="00B35421" w:rsidRPr="00BC2ED9" w:rsidRDefault="005966E7" w:rsidP="0060373E">
            <w:pPr>
              <w:pStyle w:val="NormalWeb"/>
              <w:spacing w:before="0" w:beforeAutospacing="0" w:after="0" w:afterAutospacing="0"/>
              <w:jc w:val="both"/>
              <w:rPr>
                <w:sz w:val="22"/>
                <w:szCs w:val="22"/>
              </w:rPr>
            </w:pPr>
            <w:r w:rsidRPr="00070213">
              <w:rPr>
                <w:sz w:val="22"/>
                <w:szCs w:val="22"/>
              </w:rPr>
              <w:t xml:space="preserve">Проектът е изготвен от работна група, включваща </w:t>
            </w:r>
            <w:r w:rsidR="0060373E">
              <w:rPr>
                <w:sz w:val="22"/>
                <w:szCs w:val="22"/>
              </w:rPr>
              <w:t>представители на</w:t>
            </w:r>
            <w:r w:rsidRPr="00070213">
              <w:rPr>
                <w:sz w:val="22"/>
                <w:szCs w:val="22"/>
              </w:rPr>
              <w:t xml:space="preserve"> МРРБ</w:t>
            </w:r>
            <w:r w:rsidR="0060373E">
              <w:rPr>
                <w:sz w:val="22"/>
                <w:szCs w:val="22"/>
              </w:rPr>
              <w:t xml:space="preserve">, </w:t>
            </w:r>
            <w:r w:rsidRPr="00070213">
              <w:rPr>
                <w:sz w:val="22"/>
                <w:szCs w:val="22"/>
              </w:rPr>
              <w:t>АГКК</w:t>
            </w:r>
            <w:r w:rsidR="0060373E">
              <w:rPr>
                <w:sz w:val="22"/>
                <w:szCs w:val="22"/>
              </w:rPr>
              <w:t xml:space="preserve">, </w:t>
            </w:r>
            <w:r w:rsidRPr="00070213">
              <w:rPr>
                <w:sz w:val="22"/>
                <w:szCs w:val="22"/>
              </w:rPr>
              <w:t>МТИТС и КРС.</w:t>
            </w:r>
          </w:p>
        </w:tc>
      </w:tr>
      <w:tr w:rsidR="00B35421" w:rsidRPr="00070213" w:rsidTr="00B35421">
        <w:tc>
          <w:tcPr>
            <w:tcW w:w="2610" w:type="dxa"/>
            <w:vMerge/>
            <w:tcBorders>
              <w:left w:val="single" w:sz="4" w:space="0" w:color="auto"/>
              <w:right w:val="single" w:sz="4" w:space="0" w:color="auto"/>
            </w:tcBorders>
            <w:shd w:val="clear" w:color="auto" w:fill="D0CECE" w:themeFill="background2" w:themeFillShade="E6"/>
          </w:tcPr>
          <w:p w:rsidR="00B35421" w:rsidRPr="00BC2ED9" w:rsidRDefault="00B35421" w:rsidP="00AC192C">
            <w:pPr>
              <w:jc w:val="both"/>
              <w:rPr>
                <w:b/>
                <w:sz w:val="22"/>
                <w:szCs w:val="22"/>
                <w:lang w:val="bg-BG"/>
              </w:rPr>
            </w:pPr>
          </w:p>
        </w:tc>
        <w:tc>
          <w:tcPr>
            <w:tcW w:w="6102" w:type="dxa"/>
            <w:tcBorders>
              <w:top w:val="single" w:sz="4" w:space="0" w:color="auto"/>
              <w:left w:val="single" w:sz="4" w:space="0" w:color="auto"/>
              <w:bottom w:val="single" w:sz="4" w:space="0" w:color="auto"/>
              <w:right w:val="single" w:sz="4" w:space="0" w:color="auto"/>
            </w:tcBorders>
          </w:tcPr>
          <w:p w:rsidR="00B35421" w:rsidRPr="00BC2ED9" w:rsidRDefault="00B35421" w:rsidP="00AC192C">
            <w:pPr>
              <w:jc w:val="both"/>
              <w:rPr>
                <w:sz w:val="22"/>
                <w:szCs w:val="22"/>
                <w:lang w:val="bg-BG"/>
              </w:rPr>
            </w:pPr>
            <w:r w:rsidRPr="00070213">
              <w:rPr>
                <w:sz w:val="22"/>
                <w:szCs w:val="22"/>
                <w:lang w:val="bg-BG"/>
              </w:rPr>
              <w:t xml:space="preserve">В заключение може да се обобщи, че предложения проект за наредба съдържа прекалено много неточности и недомислия, създаден е доста непрофесионално от геодезическа и картографска гледна точка и е пример за това, как не бива да се съставя нормативна база без участието на експертите, които в последствие ще трябва да я изпълняват на практика. Считаме за целесъобразно разработването на необходимите нови и преработката на съществуващи подзаконови нормативни </w:t>
            </w:r>
            <w:r w:rsidRPr="00070213">
              <w:rPr>
                <w:sz w:val="22"/>
                <w:szCs w:val="22"/>
                <w:lang w:val="bg-BG"/>
              </w:rPr>
              <w:lastRenderedPageBreak/>
              <w:t>документи в областта на специализираните карти и регистри и информационните системи да бъде възложено централизирано на експертни работни групи. В този процес водеща роля следва да има АГКК в ролята й на координатор на всички институции и организации, отговорни по ЗКИР за създаването на специализирани карти и регистри. Поради широкият спектър на заинтересованите и засегнати ведомства, общини, експлоатационните дружества и други юридически лица предложените текстове трябва да бъдат съг</w:t>
            </w:r>
            <w:r w:rsidRPr="00394C5D">
              <w:rPr>
                <w:sz w:val="22"/>
                <w:szCs w:val="22"/>
                <w:lang w:val="bg-BG"/>
              </w:rPr>
              <w:t>ласувани от Съвета по геодезия към Министъра на регионалното развитие и благоустройството преди да бъдат приети и обнародвани.</w:t>
            </w:r>
          </w:p>
        </w:tc>
        <w:tc>
          <w:tcPr>
            <w:tcW w:w="1543" w:type="dxa"/>
            <w:tcBorders>
              <w:top w:val="single" w:sz="4" w:space="0" w:color="auto"/>
              <w:left w:val="single" w:sz="4" w:space="0" w:color="auto"/>
              <w:bottom w:val="single" w:sz="4" w:space="0" w:color="auto"/>
              <w:right w:val="single" w:sz="4" w:space="0" w:color="auto"/>
            </w:tcBorders>
          </w:tcPr>
          <w:p w:rsidR="00B35421" w:rsidRPr="00BC2ED9" w:rsidRDefault="005966E7" w:rsidP="00B14B3F">
            <w:pPr>
              <w:ind w:right="-103"/>
              <w:jc w:val="center"/>
              <w:rPr>
                <w:sz w:val="22"/>
                <w:szCs w:val="22"/>
                <w:lang w:val="bg-BG"/>
              </w:rPr>
            </w:pPr>
            <w:r w:rsidRPr="00070213">
              <w:rPr>
                <w:sz w:val="22"/>
                <w:szCs w:val="22"/>
                <w:lang w:val="bg-BG"/>
              </w:rPr>
              <w:lastRenderedPageBreak/>
              <w:t>Не се приема</w:t>
            </w:r>
          </w:p>
        </w:tc>
        <w:tc>
          <w:tcPr>
            <w:tcW w:w="4380" w:type="dxa"/>
            <w:tcBorders>
              <w:top w:val="single" w:sz="4" w:space="0" w:color="auto"/>
              <w:left w:val="single" w:sz="4" w:space="0" w:color="auto"/>
              <w:bottom w:val="single" w:sz="4" w:space="0" w:color="auto"/>
              <w:right w:val="single" w:sz="4" w:space="0" w:color="auto"/>
            </w:tcBorders>
          </w:tcPr>
          <w:p w:rsidR="00B35421" w:rsidRPr="00BC2ED9" w:rsidRDefault="005966E7" w:rsidP="002C1C4D">
            <w:pPr>
              <w:pStyle w:val="NormalWeb"/>
              <w:spacing w:before="0" w:beforeAutospacing="0" w:after="0" w:afterAutospacing="0"/>
              <w:jc w:val="both"/>
              <w:rPr>
                <w:sz w:val="22"/>
                <w:szCs w:val="22"/>
              </w:rPr>
            </w:pPr>
            <w:r w:rsidRPr="00070213">
              <w:rPr>
                <w:sz w:val="22"/>
                <w:szCs w:val="22"/>
              </w:rPr>
              <w:t>Проектът е създаден от междуведомствена работна група. Това</w:t>
            </w:r>
            <w:r w:rsidR="002C1C4D">
              <w:rPr>
                <w:sz w:val="22"/>
                <w:szCs w:val="22"/>
              </w:rPr>
              <w:t xml:space="preserve"> </w:t>
            </w:r>
            <w:r w:rsidRPr="00070213">
              <w:rPr>
                <w:sz w:val="22"/>
                <w:szCs w:val="22"/>
              </w:rPr>
              <w:t>е въпрос на вътрешна организация по изготвянето на проекта.</w:t>
            </w:r>
          </w:p>
        </w:tc>
      </w:tr>
      <w:tr w:rsidR="001455CC" w:rsidRPr="00070213" w:rsidTr="00B35421">
        <w:tc>
          <w:tcPr>
            <w:tcW w:w="2610" w:type="dxa"/>
            <w:tcBorders>
              <w:left w:val="single" w:sz="4" w:space="0" w:color="auto"/>
              <w:right w:val="single" w:sz="4" w:space="0" w:color="auto"/>
            </w:tcBorders>
            <w:shd w:val="clear" w:color="auto" w:fill="D0CECE" w:themeFill="background2" w:themeFillShade="E6"/>
          </w:tcPr>
          <w:p w:rsidR="001455CC" w:rsidRPr="001455CC" w:rsidRDefault="001455CC" w:rsidP="00AC192C">
            <w:pPr>
              <w:jc w:val="both"/>
              <w:rPr>
                <w:b/>
                <w:sz w:val="22"/>
                <w:szCs w:val="22"/>
                <w:lang w:val="bg-BG"/>
              </w:rPr>
            </w:pPr>
          </w:p>
        </w:tc>
        <w:tc>
          <w:tcPr>
            <w:tcW w:w="6102" w:type="dxa"/>
            <w:tcBorders>
              <w:top w:val="single" w:sz="4" w:space="0" w:color="auto"/>
              <w:left w:val="single" w:sz="4" w:space="0" w:color="auto"/>
              <w:bottom w:val="single" w:sz="4" w:space="0" w:color="auto"/>
              <w:right w:val="single" w:sz="4" w:space="0" w:color="auto"/>
            </w:tcBorders>
          </w:tcPr>
          <w:p w:rsidR="001455CC" w:rsidRPr="001455CC" w:rsidRDefault="001455CC" w:rsidP="001455CC">
            <w:pPr>
              <w:jc w:val="both"/>
              <w:rPr>
                <w:sz w:val="22"/>
                <w:szCs w:val="22"/>
                <w:lang w:val="bg-BG"/>
              </w:rPr>
            </w:pPr>
            <w:r w:rsidRPr="001455CC">
              <w:rPr>
                <w:sz w:val="22"/>
                <w:szCs w:val="22"/>
                <w:lang w:val="bg-BG"/>
              </w:rPr>
              <w:t>ЗАБЕЛЕЖКИ КЪМ ЗНАКОВАТА СИСТЕМА</w:t>
            </w:r>
          </w:p>
          <w:p w:rsidR="001455CC" w:rsidRPr="001455CC" w:rsidRDefault="001455CC" w:rsidP="001455CC">
            <w:pPr>
              <w:jc w:val="both"/>
              <w:rPr>
                <w:sz w:val="22"/>
                <w:szCs w:val="22"/>
                <w:lang w:val="bg-BG"/>
              </w:rPr>
            </w:pPr>
            <w:r w:rsidRPr="001455CC">
              <w:rPr>
                <w:sz w:val="22"/>
                <w:szCs w:val="22"/>
                <w:lang w:val="bg-BG"/>
              </w:rPr>
              <w:t>Представената в наредбата знакова система се състои от две части: По-голяма част от знаците са заети от Наредба № 18 от 3 юни 2005 г. за съдържанието, условията и реда за създаване и поддържане на специализираните карти и регистри за изградената от оператори далекосъобщителна инфраструктура (обн. ДВ бр. 53 от 28 юни 2005 г.). Конструирани са 19 допълнителни знака, които като стил и оформление не съответстват на тези от Наредба № 18.</w:t>
            </w:r>
          </w:p>
          <w:p w:rsidR="001455CC" w:rsidRPr="001455CC" w:rsidRDefault="001455CC" w:rsidP="001455CC">
            <w:pPr>
              <w:jc w:val="both"/>
              <w:rPr>
                <w:sz w:val="22"/>
                <w:szCs w:val="22"/>
                <w:lang w:val="bg-BG"/>
              </w:rPr>
            </w:pPr>
            <w:r w:rsidRPr="001455CC">
              <w:rPr>
                <w:sz w:val="22"/>
                <w:szCs w:val="22"/>
                <w:lang w:val="bg-BG"/>
              </w:rPr>
              <w:t>Описание на знаците</w:t>
            </w:r>
          </w:p>
          <w:p w:rsidR="001455CC" w:rsidRPr="001455CC" w:rsidRDefault="001455CC" w:rsidP="001455CC">
            <w:pPr>
              <w:jc w:val="both"/>
              <w:rPr>
                <w:sz w:val="22"/>
                <w:szCs w:val="22"/>
                <w:lang w:val="bg-BG"/>
              </w:rPr>
            </w:pPr>
            <w:r w:rsidRPr="001455CC">
              <w:rPr>
                <w:sz w:val="22"/>
                <w:szCs w:val="22"/>
                <w:lang w:val="bg-BG"/>
              </w:rPr>
              <w:t>1.</w:t>
            </w:r>
            <w:r w:rsidRPr="001455CC">
              <w:rPr>
                <w:sz w:val="22"/>
                <w:szCs w:val="22"/>
                <w:lang w:val="bg-BG"/>
              </w:rPr>
              <w:tab/>
              <w:t>Всяка знакова система се състои от две част: набор от знаци и правила за използването им. В случая правила липсват, което позволява всеки който създава специализирана карта да прилага знаците по своя преценка.</w:t>
            </w:r>
          </w:p>
          <w:p w:rsidR="001455CC" w:rsidRPr="001455CC" w:rsidRDefault="001455CC" w:rsidP="001455CC">
            <w:pPr>
              <w:jc w:val="both"/>
              <w:rPr>
                <w:sz w:val="22"/>
                <w:szCs w:val="22"/>
                <w:lang w:val="bg-BG"/>
              </w:rPr>
            </w:pPr>
            <w:r w:rsidRPr="001455CC">
              <w:rPr>
                <w:sz w:val="22"/>
                <w:szCs w:val="22"/>
                <w:lang w:val="bg-BG"/>
              </w:rPr>
              <w:t>2.</w:t>
            </w:r>
            <w:r w:rsidRPr="001455CC">
              <w:rPr>
                <w:sz w:val="22"/>
                <w:szCs w:val="22"/>
                <w:lang w:val="bg-BG"/>
              </w:rPr>
              <w:tab/>
              <w:t>Самите знаци са изключително зле описани, което е предпоставка за грешки при използването им. Вместо ясно и недвусмислено описание, са представени само растерни изображения на знаците, някои от които са в с различен мащаб (за да се поберат изображенията в клетките на таблицата).</w:t>
            </w:r>
          </w:p>
          <w:p w:rsidR="001455CC" w:rsidRPr="001455CC" w:rsidRDefault="001455CC" w:rsidP="001455CC">
            <w:pPr>
              <w:jc w:val="both"/>
              <w:rPr>
                <w:sz w:val="22"/>
                <w:szCs w:val="22"/>
                <w:lang w:val="bg-BG"/>
              </w:rPr>
            </w:pPr>
            <w:r w:rsidRPr="001455CC">
              <w:rPr>
                <w:sz w:val="22"/>
                <w:szCs w:val="22"/>
                <w:lang w:val="bg-BG"/>
              </w:rPr>
              <w:t>3.</w:t>
            </w:r>
            <w:r w:rsidRPr="001455CC">
              <w:rPr>
                <w:sz w:val="22"/>
                <w:szCs w:val="22"/>
                <w:lang w:val="bg-BG"/>
              </w:rPr>
              <w:tab/>
              <w:t xml:space="preserve">В предлаганата знакова система липсват размери на знаците, което силно би затруднило употребата им. Редица знаци имат еднаква форма, а се различават само по големината си. Когато се използва такъв знак на картата, при липса на ясно </w:t>
            </w:r>
            <w:r w:rsidRPr="001455CC">
              <w:rPr>
                <w:sz w:val="22"/>
                <w:szCs w:val="22"/>
                <w:lang w:val="bg-BG"/>
              </w:rPr>
              <w:lastRenderedPageBreak/>
              <w:t>дефинирани размери на знаците, няма да е ясно кой обект изобразява.</w:t>
            </w:r>
          </w:p>
          <w:p w:rsidR="001455CC" w:rsidRPr="001455CC" w:rsidRDefault="001455CC" w:rsidP="001455CC">
            <w:pPr>
              <w:jc w:val="both"/>
              <w:rPr>
                <w:sz w:val="22"/>
                <w:szCs w:val="22"/>
                <w:lang w:val="bg-BG"/>
              </w:rPr>
            </w:pPr>
            <w:r w:rsidRPr="001455CC">
              <w:rPr>
                <w:sz w:val="22"/>
                <w:szCs w:val="22"/>
                <w:lang w:val="bg-BG"/>
              </w:rPr>
              <w:t>4.</w:t>
            </w:r>
            <w:r w:rsidRPr="001455CC">
              <w:rPr>
                <w:sz w:val="22"/>
                <w:szCs w:val="22"/>
                <w:lang w:val="bg-BG"/>
              </w:rPr>
              <w:tab/>
              <w:t>За нито един от знаците не е указано каква дебелина на линията да се използва.</w:t>
            </w:r>
          </w:p>
          <w:p w:rsidR="001455CC" w:rsidRPr="001455CC" w:rsidRDefault="001455CC" w:rsidP="001455CC">
            <w:pPr>
              <w:jc w:val="both"/>
              <w:rPr>
                <w:sz w:val="22"/>
                <w:szCs w:val="22"/>
                <w:lang w:val="bg-BG"/>
              </w:rPr>
            </w:pPr>
            <w:r w:rsidRPr="001455CC">
              <w:rPr>
                <w:sz w:val="22"/>
                <w:szCs w:val="22"/>
                <w:lang w:val="bg-BG"/>
              </w:rPr>
              <w:t>5.</w:t>
            </w:r>
            <w:r w:rsidRPr="001455CC">
              <w:rPr>
                <w:sz w:val="22"/>
                <w:szCs w:val="22"/>
                <w:lang w:val="bg-BG"/>
              </w:rPr>
              <w:tab/>
              <w:t>За знаци, които следва да се поставят през определено разстояние по линейните обекти не е показано през какъв интервал да се оформят.</w:t>
            </w:r>
          </w:p>
          <w:p w:rsidR="001455CC" w:rsidRPr="001455CC" w:rsidRDefault="001455CC" w:rsidP="001455CC">
            <w:pPr>
              <w:jc w:val="both"/>
              <w:rPr>
                <w:sz w:val="22"/>
                <w:szCs w:val="22"/>
                <w:lang w:val="bg-BG"/>
              </w:rPr>
            </w:pPr>
            <w:r w:rsidRPr="001455CC">
              <w:rPr>
                <w:sz w:val="22"/>
                <w:szCs w:val="22"/>
                <w:lang w:val="bg-BG"/>
              </w:rPr>
              <w:t>6.</w:t>
            </w:r>
            <w:r w:rsidRPr="001455CC">
              <w:rPr>
                <w:sz w:val="22"/>
                <w:szCs w:val="22"/>
                <w:lang w:val="bg-BG"/>
              </w:rPr>
              <w:tab/>
              <w:t>За нито един знак не е посочена точка на вмъкване (място от знака, което съответства на геометричния център на обекта). За знаците, конструирани чрез геометрични фигури е логично това да е центъра на фигурата, но за съставни знаци, например за различните видове профили, не може да се определи коя част от знака съответства на центъра на обекта.</w:t>
            </w:r>
          </w:p>
          <w:p w:rsidR="001455CC" w:rsidRPr="001455CC" w:rsidRDefault="001455CC" w:rsidP="001455CC">
            <w:pPr>
              <w:jc w:val="both"/>
              <w:rPr>
                <w:sz w:val="22"/>
                <w:szCs w:val="22"/>
                <w:lang w:val="bg-BG"/>
              </w:rPr>
            </w:pPr>
            <w:r w:rsidRPr="001455CC">
              <w:rPr>
                <w:sz w:val="22"/>
                <w:szCs w:val="22"/>
                <w:lang w:val="bg-BG"/>
              </w:rPr>
              <w:t>7.</w:t>
            </w:r>
            <w:r w:rsidRPr="001455CC">
              <w:rPr>
                <w:sz w:val="22"/>
                <w:szCs w:val="22"/>
                <w:lang w:val="bg-BG"/>
              </w:rPr>
              <w:tab/>
              <w:t>Не е предвидена номерация на знаците което затруднява използването им. Обикновено, при създаване на библиотеки със знаците от една знакова система, те се обозначават чрез номерата си. По този начин се улесняват онези, които прилагат знаковата система.</w:t>
            </w:r>
          </w:p>
          <w:p w:rsidR="001455CC" w:rsidRPr="001455CC" w:rsidRDefault="001455CC" w:rsidP="001455CC">
            <w:pPr>
              <w:jc w:val="both"/>
              <w:rPr>
                <w:sz w:val="22"/>
                <w:szCs w:val="22"/>
                <w:lang w:val="bg-BG"/>
              </w:rPr>
            </w:pPr>
            <w:r w:rsidRPr="001455CC">
              <w:rPr>
                <w:sz w:val="22"/>
                <w:szCs w:val="22"/>
                <w:lang w:val="bg-BG"/>
              </w:rPr>
              <w:t>8.</w:t>
            </w:r>
            <w:r w:rsidRPr="001455CC">
              <w:rPr>
                <w:sz w:val="22"/>
                <w:szCs w:val="22"/>
                <w:lang w:val="bg-BG"/>
              </w:rPr>
              <w:tab/>
              <w:t>Знаците са представени в растерен вид с изключително ниска резолюция и лошо качество. За някои знаци дори не може да се определи каква фигура е използвана при конструирането им - знаците изглеждат по-скоро като елипси, отколкото кръгове.</w:t>
            </w:r>
          </w:p>
          <w:p w:rsidR="001455CC" w:rsidRPr="001455CC" w:rsidRDefault="001455CC" w:rsidP="001455CC">
            <w:pPr>
              <w:jc w:val="both"/>
              <w:rPr>
                <w:sz w:val="22"/>
                <w:szCs w:val="22"/>
                <w:lang w:val="bg-BG"/>
              </w:rPr>
            </w:pPr>
            <w:r w:rsidRPr="001455CC">
              <w:rPr>
                <w:sz w:val="22"/>
                <w:szCs w:val="22"/>
                <w:lang w:val="bg-BG"/>
              </w:rPr>
              <w:t>9.</w:t>
            </w:r>
            <w:r w:rsidRPr="001455CC">
              <w:rPr>
                <w:sz w:val="22"/>
                <w:szCs w:val="22"/>
                <w:lang w:val="bg-BG"/>
              </w:rPr>
              <w:tab/>
              <w:t>В знаковата система липсва ясна схема за класификация на обектите. Редно е по- важните обекти да се изобразяват чрез по-големи знаци, а по-незначителните - чрез по-малки.</w:t>
            </w:r>
          </w:p>
          <w:p w:rsidR="001455CC" w:rsidRPr="001455CC" w:rsidRDefault="001455CC" w:rsidP="001455CC">
            <w:pPr>
              <w:jc w:val="both"/>
              <w:rPr>
                <w:sz w:val="22"/>
                <w:szCs w:val="22"/>
                <w:lang w:val="bg-BG"/>
              </w:rPr>
            </w:pPr>
            <w:r w:rsidRPr="001455CC">
              <w:rPr>
                <w:sz w:val="22"/>
                <w:szCs w:val="22"/>
                <w:lang w:val="bg-BG"/>
              </w:rPr>
              <w:t>10.</w:t>
            </w:r>
            <w:r w:rsidRPr="001455CC">
              <w:rPr>
                <w:sz w:val="22"/>
                <w:szCs w:val="22"/>
                <w:lang w:val="bg-BG"/>
              </w:rPr>
              <w:tab/>
              <w:t>Знаковата система съдържа предимно немащабни знаци. Линейни обекти, като кабели и канали е предвидено да бъдат изобразявани чрез немащабни знаци, което не е удачно. Няма указания през какво разстояние по протежение на линейните обекти ще се поставят</w:t>
            </w:r>
            <w:r>
              <w:rPr>
                <w:sz w:val="22"/>
                <w:szCs w:val="22"/>
                <w:lang w:val="bg-BG"/>
              </w:rPr>
              <w:t xml:space="preserve"> </w:t>
            </w:r>
            <w:r w:rsidRPr="001455CC">
              <w:rPr>
                <w:sz w:val="22"/>
                <w:szCs w:val="22"/>
                <w:lang w:val="bg-BG"/>
              </w:rPr>
              <w:t xml:space="preserve">немащабните знаци. Някои от тези знаци по форма и размери наподобяват знаци за обозначаване на немащабни обекти, което може да доведе до объркване дали знакът показва обект по трасето или показва </w:t>
            </w:r>
            <w:r w:rsidRPr="001455CC">
              <w:rPr>
                <w:sz w:val="22"/>
                <w:szCs w:val="22"/>
                <w:lang w:val="bg-BG"/>
              </w:rPr>
              <w:lastRenderedPageBreak/>
              <w:t>вида на линейния обект. Не е предвиден нито един площен знак за обекти, чиито размери позволяват мащабно изобразяване.</w:t>
            </w:r>
          </w:p>
          <w:p w:rsidR="001455CC" w:rsidRPr="001455CC" w:rsidRDefault="001455CC" w:rsidP="001455CC">
            <w:pPr>
              <w:jc w:val="both"/>
              <w:rPr>
                <w:sz w:val="22"/>
                <w:szCs w:val="22"/>
                <w:lang w:val="bg-BG"/>
              </w:rPr>
            </w:pPr>
            <w:r w:rsidRPr="001455CC">
              <w:rPr>
                <w:sz w:val="22"/>
                <w:szCs w:val="22"/>
                <w:lang w:val="bg-BG"/>
              </w:rPr>
              <w:t>1.</w:t>
            </w:r>
            <w:r w:rsidRPr="001455CC">
              <w:rPr>
                <w:sz w:val="22"/>
                <w:szCs w:val="22"/>
                <w:lang w:val="bg-BG"/>
              </w:rPr>
              <w:tab/>
              <w:t>При конструиране на знаковата система са смесени два подхода: за едни обекти са предвидени абстрактни геометрични знаци, а за други - рисунки или схеми. За два от знаците са използвани цифри (шрифт Times New Roman): 0 за „Единичен дървен стълб“ и 8 за „Двоен дървен стълб“.</w:t>
            </w:r>
          </w:p>
          <w:p w:rsidR="001455CC" w:rsidRPr="001455CC" w:rsidRDefault="001455CC" w:rsidP="001455CC">
            <w:pPr>
              <w:jc w:val="both"/>
              <w:rPr>
                <w:sz w:val="22"/>
                <w:szCs w:val="22"/>
                <w:lang w:val="bg-BG"/>
              </w:rPr>
            </w:pPr>
            <w:r w:rsidRPr="001455CC">
              <w:rPr>
                <w:sz w:val="22"/>
                <w:szCs w:val="22"/>
                <w:lang w:val="bg-BG"/>
              </w:rPr>
              <w:t>Явни грешки в знаковата система</w:t>
            </w:r>
          </w:p>
          <w:p w:rsidR="001455CC" w:rsidRPr="001455CC" w:rsidRDefault="001455CC" w:rsidP="001455CC">
            <w:pPr>
              <w:jc w:val="both"/>
              <w:rPr>
                <w:sz w:val="22"/>
                <w:szCs w:val="22"/>
                <w:lang w:val="bg-BG"/>
              </w:rPr>
            </w:pPr>
            <w:r w:rsidRPr="001455CC">
              <w:rPr>
                <w:sz w:val="22"/>
                <w:szCs w:val="22"/>
                <w:lang w:val="bg-BG"/>
              </w:rPr>
              <w:t>1.</w:t>
            </w:r>
            <w:r w:rsidRPr="001455CC">
              <w:rPr>
                <w:sz w:val="22"/>
                <w:szCs w:val="22"/>
                <w:lang w:val="bg-BG"/>
              </w:rPr>
              <w:tab/>
              <w:t>В знаковата система са конструирани два знака за „Крайна разпределителна муфа“ ( v и 0), които значително се различават по своите форма и размери, без да е пояснено кога се използва първия и кога - втория.</w:t>
            </w:r>
          </w:p>
          <w:p w:rsidR="001455CC" w:rsidRPr="001455CC" w:rsidRDefault="001455CC" w:rsidP="001455CC">
            <w:pPr>
              <w:jc w:val="both"/>
              <w:rPr>
                <w:sz w:val="22"/>
                <w:szCs w:val="22"/>
                <w:lang w:val="bg-BG"/>
              </w:rPr>
            </w:pPr>
            <w:r w:rsidRPr="001455CC">
              <w:rPr>
                <w:sz w:val="22"/>
                <w:szCs w:val="22"/>
                <w:lang w:val="bg-BG"/>
              </w:rPr>
              <w:t>2.</w:t>
            </w:r>
            <w:r w:rsidRPr="001455CC">
              <w:rPr>
                <w:sz w:val="22"/>
                <w:szCs w:val="22"/>
                <w:lang w:val="bg-BG"/>
              </w:rPr>
              <w:tab/>
              <w:t>Два пъти се повтаря и „Знак, който посочва от коя страна на улицата минава кабелното трасе</w:t>
            </w:r>
            <w:r w:rsidR="00740DEE">
              <w:rPr>
                <w:sz w:val="22"/>
                <w:szCs w:val="22"/>
                <w:lang w:val="bg-BG"/>
              </w:rPr>
              <w:t xml:space="preserve"> </w:t>
            </w:r>
            <w:r w:rsidRPr="001455CC">
              <w:rPr>
                <w:sz w:val="22"/>
                <w:szCs w:val="22"/>
                <w:lang w:val="bg-BG"/>
              </w:rPr>
              <w:t>Знаците, макар и сходни се различават графично: т и V.</w:t>
            </w:r>
          </w:p>
          <w:p w:rsidR="001455CC" w:rsidRPr="001455CC" w:rsidRDefault="001455CC" w:rsidP="001455CC">
            <w:pPr>
              <w:jc w:val="both"/>
              <w:rPr>
                <w:sz w:val="22"/>
                <w:szCs w:val="22"/>
                <w:lang w:val="bg-BG"/>
              </w:rPr>
            </w:pPr>
            <w:r w:rsidRPr="001455CC">
              <w:rPr>
                <w:sz w:val="22"/>
                <w:szCs w:val="22"/>
                <w:lang w:val="bg-BG"/>
              </w:rPr>
              <w:t>3.</w:t>
            </w:r>
            <w:r w:rsidRPr="001455CC">
              <w:rPr>
                <w:sz w:val="22"/>
                <w:szCs w:val="22"/>
                <w:lang w:val="bg-BG"/>
              </w:rPr>
              <w:tab/>
              <w:t>За изобразяване на различни обектите „Пункт за измерване налягането на въздуха (постоянен вентил)“ и „Крайна разпределителна муфа“ е предвиден един и същ знак - равностранен триъгълник с върха надолу ( v ).</w:t>
            </w:r>
          </w:p>
          <w:p w:rsidR="001455CC" w:rsidRPr="001455CC" w:rsidRDefault="001455CC" w:rsidP="001455CC">
            <w:pPr>
              <w:jc w:val="both"/>
              <w:rPr>
                <w:sz w:val="22"/>
                <w:szCs w:val="22"/>
                <w:lang w:val="bg-BG"/>
              </w:rPr>
            </w:pPr>
            <w:r w:rsidRPr="001455CC">
              <w:rPr>
                <w:sz w:val="22"/>
                <w:szCs w:val="22"/>
                <w:lang w:val="bg-BG"/>
              </w:rPr>
              <w:t>4.</w:t>
            </w:r>
            <w:r w:rsidRPr="001455CC">
              <w:rPr>
                <w:sz w:val="22"/>
                <w:szCs w:val="22"/>
                <w:lang w:val="bg-BG"/>
              </w:rPr>
              <w:tab/>
              <w:t>Обектите „Изнесена мрежа“, „Съществуваща кабелна телекомуникационна шахта - стандартна (по БДС)“ и за „Свободен подземен телефонен канал от бетонни канални блокове с диаметър 100 и 110 тт“ са много различни в същността си, но се изобразяват чрез еднакви знаци - квадрат с точка в средата (И ). Различават се по големината си, но тъй като в знаковата система не са указани размери, няма да е ясно кога кой е използван.</w:t>
            </w:r>
          </w:p>
          <w:p w:rsidR="001455CC" w:rsidRPr="001455CC" w:rsidRDefault="001455CC" w:rsidP="001455CC">
            <w:pPr>
              <w:jc w:val="both"/>
              <w:rPr>
                <w:sz w:val="22"/>
                <w:szCs w:val="22"/>
                <w:lang w:val="bg-BG"/>
              </w:rPr>
            </w:pPr>
            <w:r w:rsidRPr="001455CC">
              <w:rPr>
                <w:sz w:val="22"/>
                <w:szCs w:val="22"/>
                <w:lang w:val="bg-BG"/>
              </w:rPr>
              <w:t>5.</w:t>
            </w:r>
            <w:r w:rsidRPr="001455CC">
              <w:rPr>
                <w:sz w:val="22"/>
                <w:szCs w:val="22"/>
                <w:lang w:val="bg-BG"/>
              </w:rPr>
              <w:tab/>
              <w:t>Конструирани са много сходни помежду си знаци, което би затруднило тяхното разпознаване, когато са разположени на картата: □ Н И</w:t>
            </w:r>
          </w:p>
          <w:p w:rsidR="001455CC" w:rsidRPr="001455CC" w:rsidRDefault="001455CC" w:rsidP="001455CC">
            <w:pPr>
              <w:jc w:val="both"/>
              <w:rPr>
                <w:sz w:val="22"/>
                <w:szCs w:val="22"/>
                <w:lang w:val="bg-BG"/>
              </w:rPr>
            </w:pPr>
            <w:r w:rsidRPr="001455CC">
              <w:rPr>
                <w:sz w:val="22"/>
                <w:szCs w:val="22"/>
                <w:lang w:val="bg-BG"/>
              </w:rPr>
              <w:t>6.</w:t>
            </w:r>
            <w:r w:rsidRPr="001455CC">
              <w:rPr>
                <w:sz w:val="22"/>
                <w:szCs w:val="22"/>
                <w:lang w:val="bg-BG"/>
              </w:rPr>
              <w:tab/>
              <w:t xml:space="preserve">Предвидени са 14 знака за изобразяване на „муфа“ (приспособление за съединяване на тръбни части), които визуално нямат нищо общо помежду си. Нарушено е правилото сходните обекти да се изобразяват чрез близки по </w:t>
            </w:r>
            <w:r w:rsidRPr="001455CC">
              <w:rPr>
                <w:sz w:val="22"/>
                <w:szCs w:val="22"/>
                <w:lang w:val="bg-BG"/>
              </w:rPr>
              <w:lastRenderedPageBreak/>
              <w:t>външен вид знаци. Наличието на толкова много различни знаци за един обект не е оправдано, разликите във вида на муфите могат да се опишат в регистрите.</w:t>
            </w:r>
          </w:p>
          <w:p w:rsidR="001455CC" w:rsidRPr="001455CC" w:rsidRDefault="001455CC" w:rsidP="001455CC">
            <w:pPr>
              <w:jc w:val="both"/>
              <w:rPr>
                <w:sz w:val="22"/>
                <w:szCs w:val="22"/>
                <w:lang w:val="bg-BG"/>
              </w:rPr>
            </w:pPr>
            <w:r w:rsidRPr="001455CC">
              <w:rPr>
                <w:sz w:val="22"/>
                <w:szCs w:val="22"/>
                <w:lang w:val="bg-BG"/>
              </w:rPr>
              <w:t>7.</w:t>
            </w:r>
            <w:r w:rsidRPr="001455CC">
              <w:rPr>
                <w:sz w:val="22"/>
                <w:szCs w:val="22"/>
                <w:lang w:val="bg-BG"/>
              </w:rPr>
              <w:tab/>
              <w:t>Налични са знаци за „Муфа - общо означение“ и за „Съединителна муфа“, като не е пояснено кой знак за какво ще се използва.</w:t>
            </w:r>
          </w:p>
          <w:p w:rsidR="001455CC" w:rsidRPr="001455CC" w:rsidRDefault="001455CC" w:rsidP="001455CC">
            <w:pPr>
              <w:jc w:val="both"/>
              <w:rPr>
                <w:sz w:val="22"/>
                <w:szCs w:val="22"/>
                <w:lang w:val="bg-BG"/>
              </w:rPr>
            </w:pPr>
            <w:r w:rsidRPr="001455CC">
              <w:rPr>
                <w:sz w:val="22"/>
                <w:szCs w:val="22"/>
                <w:lang w:val="bg-BG"/>
              </w:rPr>
              <w:t>Заключение</w:t>
            </w:r>
          </w:p>
          <w:p w:rsidR="001455CC" w:rsidRPr="001455CC" w:rsidRDefault="001455CC" w:rsidP="001455CC">
            <w:pPr>
              <w:jc w:val="both"/>
              <w:rPr>
                <w:sz w:val="22"/>
                <w:szCs w:val="22"/>
                <w:lang w:val="bg-BG"/>
              </w:rPr>
            </w:pPr>
            <w:r w:rsidRPr="001455CC">
              <w:rPr>
                <w:sz w:val="22"/>
                <w:szCs w:val="22"/>
                <w:lang w:val="bg-BG"/>
              </w:rPr>
              <w:t>Отбелязаните по-горе слабости и грешки в предлаганата знакова система налагат извода, че тя страда от съществени недостатъци. Очевидно не е изработена от професионалисти. Като външен вид, цветово решение и конструкция знаците са крайно неподходящи и съответстват на нивото на развитие на картографията в България от средата на миналия век.</w:t>
            </w:r>
          </w:p>
          <w:p w:rsidR="001455CC" w:rsidRPr="00070213" w:rsidRDefault="001455CC" w:rsidP="001455CC">
            <w:pPr>
              <w:jc w:val="both"/>
              <w:rPr>
                <w:sz w:val="22"/>
                <w:szCs w:val="22"/>
                <w:lang w:val="bg-BG"/>
              </w:rPr>
            </w:pPr>
            <w:r w:rsidRPr="001455CC">
              <w:rPr>
                <w:sz w:val="22"/>
                <w:szCs w:val="22"/>
                <w:lang w:val="bg-BG"/>
              </w:rPr>
              <w:t>Конструирането на знакова система е като създаване на азбука за определен вид карти. Тя ще се използва дълго време и допуснатите грешки при нейното изграждане, ще затрудняват създаването и използването на карти. Поради това знаковите системи трябва да се създават от специалисти картографи.</w:t>
            </w:r>
          </w:p>
        </w:tc>
        <w:tc>
          <w:tcPr>
            <w:tcW w:w="1543" w:type="dxa"/>
            <w:tcBorders>
              <w:top w:val="single" w:sz="4" w:space="0" w:color="auto"/>
              <w:left w:val="single" w:sz="4" w:space="0" w:color="auto"/>
              <w:bottom w:val="single" w:sz="4" w:space="0" w:color="auto"/>
              <w:right w:val="single" w:sz="4" w:space="0" w:color="auto"/>
            </w:tcBorders>
          </w:tcPr>
          <w:p w:rsidR="001455CC" w:rsidRPr="00070213" w:rsidRDefault="001455CC" w:rsidP="00B14B3F">
            <w:pPr>
              <w:ind w:right="-103"/>
              <w:jc w:val="center"/>
              <w:rPr>
                <w:sz w:val="22"/>
                <w:szCs w:val="22"/>
                <w:lang w:val="bg-BG"/>
              </w:rPr>
            </w:pPr>
            <w:r>
              <w:rPr>
                <w:sz w:val="22"/>
                <w:szCs w:val="22"/>
                <w:lang w:val="bg-BG"/>
              </w:rPr>
              <w:lastRenderedPageBreak/>
              <w:t>Не се приема</w:t>
            </w:r>
          </w:p>
        </w:tc>
        <w:tc>
          <w:tcPr>
            <w:tcW w:w="4380" w:type="dxa"/>
            <w:tcBorders>
              <w:top w:val="single" w:sz="4" w:space="0" w:color="auto"/>
              <w:left w:val="single" w:sz="4" w:space="0" w:color="auto"/>
              <w:bottom w:val="single" w:sz="4" w:space="0" w:color="auto"/>
              <w:right w:val="single" w:sz="4" w:space="0" w:color="auto"/>
            </w:tcBorders>
          </w:tcPr>
          <w:p w:rsidR="0076173A" w:rsidRDefault="0076173A" w:rsidP="00E7488D">
            <w:pPr>
              <w:pStyle w:val="NormalWeb"/>
              <w:spacing w:before="0" w:beforeAutospacing="0" w:after="0" w:afterAutospacing="0"/>
              <w:jc w:val="both"/>
              <w:rPr>
                <w:sz w:val="22"/>
                <w:szCs w:val="22"/>
              </w:rPr>
            </w:pPr>
            <w:r w:rsidRPr="0076173A">
              <w:rPr>
                <w:sz w:val="22"/>
                <w:szCs w:val="22"/>
              </w:rPr>
              <w:t xml:space="preserve">Всъщност, в бележката липсва конкретно предложение, което да може да бъде </w:t>
            </w:r>
            <w:r w:rsidR="00E7488D">
              <w:rPr>
                <w:sz w:val="22"/>
                <w:szCs w:val="22"/>
              </w:rPr>
              <w:t>отразено</w:t>
            </w:r>
            <w:r w:rsidRPr="0076173A">
              <w:rPr>
                <w:sz w:val="22"/>
                <w:szCs w:val="22"/>
              </w:rPr>
              <w:t xml:space="preserve">, а по-скоро </w:t>
            </w:r>
            <w:r w:rsidR="00E7488D">
              <w:rPr>
                <w:sz w:val="22"/>
                <w:szCs w:val="22"/>
              </w:rPr>
              <w:t>изразява</w:t>
            </w:r>
            <w:r w:rsidRPr="0076173A">
              <w:rPr>
                <w:sz w:val="22"/>
                <w:szCs w:val="22"/>
              </w:rPr>
              <w:t xml:space="preserve"> виждането на авторите </w:t>
            </w:r>
            <w:r w:rsidR="00E7488D">
              <w:rPr>
                <w:sz w:val="22"/>
                <w:szCs w:val="22"/>
              </w:rPr>
              <w:t>за</w:t>
            </w:r>
            <w:r>
              <w:rPr>
                <w:sz w:val="22"/>
                <w:szCs w:val="22"/>
              </w:rPr>
              <w:t xml:space="preserve"> </w:t>
            </w:r>
            <w:r w:rsidR="005B37D1">
              <w:rPr>
                <w:sz w:val="22"/>
                <w:szCs w:val="22"/>
              </w:rPr>
              <w:t xml:space="preserve">използваната </w:t>
            </w:r>
            <w:r>
              <w:rPr>
                <w:sz w:val="22"/>
                <w:szCs w:val="22"/>
              </w:rPr>
              <w:t>знаковата система</w:t>
            </w:r>
            <w:r w:rsidRPr="0076173A">
              <w:rPr>
                <w:sz w:val="22"/>
                <w:szCs w:val="22"/>
              </w:rPr>
              <w:t xml:space="preserve">. </w:t>
            </w:r>
          </w:p>
          <w:p w:rsidR="0076173A" w:rsidRDefault="007F7B3F" w:rsidP="00E7488D">
            <w:pPr>
              <w:pStyle w:val="NormalWeb"/>
              <w:spacing w:before="0" w:beforeAutospacing="0" w:after="0" w:afterAutospacing="0"/>
              <w:jc w:val="both"/>
              <w:rPr>
                <w:sz w:val="22"/>
                <w:szCs w:val="22"/>
              </w:rPr>
            </w:pPr>
            <w:r w:rsidRPr="007F7B3F">
              <w:rPr>
                <w:sz w:val="22"/>
                <w:szCs w:val="22"/>
              </w:rPr>
              <w:t>На следващо място, действащата към момента Наредба № 18 от 3.06.2005 г. за съдържанието, условията и реда за създаване и поддържане на специализираните карти и регистри за изградената от оператори далекосъобщителна инфраструктура и понастоящем съдържа</w:t>
            </w:r>
            <w:r w:rsidR="00E7488D">
              <w:rPr>
                <w:sz w:val="22"/>
                <w:szCs w:val="22"/>
              </w:rPr>
              <w:t>,</w:t>
            </w:r>
            <w:r w:rsidRPr="007F7B3F">
              <w:rPr>
                <w:sz w:val="22"/>
                <w:szCs w:val="22"/>
              </w:rPr>
              <w:t xml:space="preserve"> </w:t>
            </w:r>
            <w:r>
              <w:rPr>
                <w:sz w:val="22"/>
                <w:szCs w:val="22"/>
              </w:rPr>
              <w:t>в голяма степен</w:t>
            </w:r>
            <w:r w:rsidR="00E7488D">
              <w:rPr>
                <w:sz w:val="22"/>
                <w:szCs w:val="22"/>
              </w:rPr>
              <w:t>,</w:t>
            </w:r>
            <w:r>
              <w:rPr>
                <w:sz w:val="22"/>
                <w:szCs w:val="22"/>
              </w:rPr>
              <w:t xml:space="preserve"> използваната знакова система. Предвид на факта, че Наредба № 18 </w:t>
            </w:r>
            <w:r w:rsidR="00E7488D">
              <w:rPr>
                <w:sz w:val="22"/>
                <w:szCs w:val="22"/>
              </w:rPr>
              <w:t>е в сила</w:t>
            </w:r>
            <w:r>
              <w:rPr>
                <w:sz w:val="22"/>
                <w:szCs w:val="22"/>
              </w:rPr>
              <w:t xml:space="preserve"> от 2005 г</w:t>
            </w:r>
            <w:r w:rsidR="00E7488D">
              <w:rPr>
                <w:sz w:val="22"/>
                <w:szCs w:val="22"/>
              </w:rPr>
              <w:t>.</w:t>
            </w:r>
            <w:r>
              <w:rPr>
                <w:sz w:val="22"/>
                <w:szCs w:val="22"/>
              </w:rPr>
              <w:t xml:space="preserve"> и в този период не е имало индикации за наличието на практически проблеми, можем да заключим, че Наредба № 18 </w:t>
            </w:r>
            <w:r w:rsidRPr="007F7B3F">
              <w:rPr>
                <w:sz w:val="22"/>
                <w:szCs w:val="22"/>
              </w:rPr>
              <w:t>се прилага успешно</w:t>
            </w:r>
            <w:r w:rsidR="00E7488D">
              <w:rPr>
                <w:sz w:val="22"/>
                <w:szCs w:val="22"/>
              </w:rPr>
              <w:t>, респективно не е имало затруднения при използването на знаковата система</w:t>
            </w:r>
            <w:r w:rsidRPr="007F7B3F">
              <w:rPr>
                <w:sz w:val="22"/>
                <w:szCs w:val="22"/>
              </w:rPr>
              <w:t xml:space="preserve">. </w:t>
            </w:r>
          </w:p>
          <w:p w:rsidR="004555CB" w:rsidRDefault="004555CB" w:rsidP="00626900">
            <w:pPr>
              <w:pStyle w:val="NormalWeb"/>
              <w:spacing w:before="0" w:beforeAutospacing="0" w:after="0" w:afterAutospacing="0"/>
              <w:jc w:val="both"/>
              <w:rPr>
                <w:sz w:val="22"/>
                <w:szCs w:val="22"/>
              </w:rPr>
            </w:pPr>
          </w:p>
          <w:p w:rsidR="0076173A" w:rsidRPr="00BC2ED9" w:rsidRDefault="0076173A" w:rsidP="00626900">
            <w:pPr>
              <w:pStyle w:val="NormalWeb"/>
              <w:spacing w:before="0" w:beforeAutospacing="0" w:after="0" w:afterAutospacing="0"/>
              <w:jc w:val="both"/>
              <w:rPr>
                <w:sz w:val="22"/>
                <w:szCs w:val="22"/>
                <w:highlight w:val="yellow"/>
              </w:rPr>
            </w:pPr>
          </w:p>
        </w:tc>
      </w:tr>
      <w:tr w:rsidR="00B4155D" w:rsidRPr="00070213" w:rsidTr="00B35421">
        <w:tc>
          <w:tcPr>
            <w:tcW w:w="2610" w:type="dxa"/>
            <w:vMerge w:val="restart"/>
            <w:tcBorders>
              <w:top w:val="single" w:sz="4" w:space="0" w:color="auto"/>
              <w:left w:val="single" w:sz="4" w:space="0" w:color="auto"/>
              <w:right w:val="single" w:sz="4" w:space="0" w:color="auto"/>
            </w:tcBorders>
            <w:shd w:val="clear" w:color="auto" w:fill="D0CECE" w:themeFill="background2" w:themeFillShade="E6"/>
          </w:tcPr>
          <w:p w:rsidR="00B4155D" w:rsidRPr="00BC2ED9" w:rsidRDefault="00B4155D" w:rsidP="00AC192C">
            <w:pPr>
              <w:jc w:val="both"/>
              <w:rPr>
                <w:b/>
                <w:sz w:val="22"/>
                <w:szCs w:val="22"/>
                <w:lang w:val="bg-BG"/>
              </w:rPr>
            </w:pPr>
            <w:r w:rsidRPr="00070213">
              <w:rPr>
                <w:b/>
                <w:sz w:val="22"/>
                <w:szCs w:val="22"/>
                <w:lang w:val="bg-BG"/>
              </w:rPr>
              <w:lastRenderedPageBreak/>
              <w:t>Комисия за регулиране на съобщенията</w:t>
            </w: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tc>
        <w:tc>
          <w:tcPr>
            <w:tcW w:w="6102" w:type="dxa"/>
            <w:tcBorders>
              <w:top w:val="single" w:sz="4" w:space="0" w:color="auto"/>
              <w:left w:val="single" w:sz="4" w:space="0" w:color="auto"/>
              <w:bottom w:val="single" w:sz="4" w:space="0" w:color="auto"/>
              <w:right w:val="single" w:sz="4" w:space="0" w:color="auto"/>
            </w:tcBorders>
          </w:tcPr>
          <w:p w:rsidR="000D7B2B" w:rsidRPr="00BC2ED9" w:rsidRDefault="000D7B2B" w:rsidP="00AC192C">
            <w:pPr>
              <w:widowControl w:val="0"/>
              <w:tabs>
                <w:tab w:val="left" w:pos="220"/>
              </w:tabs>
              <w:autoSpaceDE w:val="0"/>
              <w:autoSpaceDN w:val="0"/>
              <w:adjustRightInd w:val="0"/>
              <w:spacing w:after="120"/>
              <w:jc w:val="both"/>
              <w:rPr>
                <w:sz w:val="22"/>
                <w:szCs w:val="22"/>
                <w:lang w:val="bg-BG"/>
              </w:rPr>
            </w:pPr>
            <w:r w:rsidRPr="00070213">
              <w:rPr>
                <w:sz w:val="22"/>
                <w:szCs w:val="22"/>
                <w:lang w:val="bg-BG"/>
              </w:rPr>
              <w:lastRenderedPageBreak/>
              <w:t>1.</w:t>
            </w:r>
            <w:r w:rsidRPr="00070213">
              <w:rPr>
                <w:sz w:val="22"/>
                <w:szCs w:val="22"/>
                <w:lang w:val="bg-BG"/>
              </w:rPr>
              <w:tab/>
              <w:t>В чл. 1, ал. 3 след „по смисъла на“ да бъде добавено „§ 1, т. 4 от Допълнителните разпоредби на“.</w:t>
            </w:r>
          </w:p>
          <w:p w:rsidR="00B4155D" w:rsidRPr="00BC2ED9" w:rsidRDefault="000D7B2B" w:rsidP="00AC192C">
            <w:pPr>
              <w:widowControl w:val="0"/>
              <w:tabs>
                <w:tab w:val="left" w:pos="220"/>
              </w:tabs>
              <w:autoSpaceDE w:val="0"/>
              <w:autoSpaceDN w:val="0"/>
              <w:adjustRightInd w:val="0"/>
              <w:spacing w:after="120"/>
              <w:jc w:val="both"/>
              <w:rPr>
                <w:sz w:val="22"/>
                <w:szCs w:val="22"/>
                <w:lang w:val="bg-BG"/>
              </w:rPr>
            </w:pPr>
            <w:r w:rsidRPr="00070213">
              <w:rPr>
                <w:sz w:val="22"/>
                <w:szCs w:val="22"/>
                <w:lang w:val="bg-BG"/>
              </w:rPr>
              <w:t>Мотиви: Предложението е ре</w:t>
            </w:r>
            <w:r w:rsidR="00452FA1" w:rsidRPr="00070213">
              <w:rPr>
                <w:sz w:val="22"/>
                <w:szCs w:val="22"/>
                <w:lang w:val="bg-BG"/>
              </w:rPr>
              <w:t xml:space="preserve">дакционно и с оглед направената </w:t>
            </w:r>
            <w:r w:rsidRPr="00070213">
              <w:rPr>
                <w:sz w:val="22"/>
                <w:szCs w:val="22"/>
                <w:lang w:val="bg-BG"/>
              </w:rPr>
              <w:t>чл. 1, ал. 2 от Проекта аналогична препратка за</w:t>
            </w:r>
            <w:r w:rsidR="00452FA1" w:rsidRPr="00070213">
              <w:rPr>
                <w:sz w:val="22"/>
                <w:szCs w:val="22"/>
                <w:lang w:val="bg-BG"/>
              </w:rPr>
              <w:t xml:space="preserve"> </w:t>
            </w:r>
            <w:r w:rsidRPr="00394C5D">
              <w:rPr>
                <w:sz w:val="22"/>
                <w:szCs w:val="22"/>
                <w:lang w:val="bg-BG"/>
              </w:rPr>
              <w:t>специализираните карти и регистри към чл. 32, ал. 1, т. 2 от ЗКИР.</w:t>
            </w:r>
          </w:p>
        </w:tc>
        <w:tc>
          <w:tcPr>
            <w:tcW w:w="1543" w:type="dxa"/>
            <w:tcBorders>
              <w:top w:val="single" w:sz="4" w:space="0" w:color="auto"/>
              <w:left w:val="single" w:sz="4" w:space="0" w:color="auto"/>
              <w:bottom w:val="single" w:sz="4" w:space="0" w:color="auto"/>
              <w:right w:val="single" w:sz="4" w:space="0" w:color="auto"/>
            </w:tcBorders>
          </w:tcPr>
          <w:p w:rsidR="00B4155D" w:rsidRPr="00BC2ED9" w:rsidRDefault="00592EA4" w:rsidP="00B14B3F">
            <w:pPr>
              <w:ind w:right="-103"/>
              <w:jc w:val="center"/>
              <w:rPr>
                <w:sz w:val="22"/>
                <w:szCs w:val="22"/>
                <w:lang w:val="bg-BG"/>
              </w:rPr>
            </w:pPr>
            <w:r w:rsidRPr="00070213">
              <w:rPr>
                <w:sz w:val="22"/>
                <w:szCs w:val="22"/>
                <w:lang w:val="bg-BG"/>
              </w:rPr>
              <w:t>Приема се</w:t>
            </w:r>
          </w:p>
        </w:tc>
        <w:tc>
          <w:tcPr>
            <w:tcW w:w="4380" w:type="dxa"/>
            <w:tcBorders>
              <w:top w:val="single" w:sz="4" w:space="0" w:color="auto"/>
              <w:left w:val="single" w:sz="4" w:space="0" w:color="auto"/>
              <w:bottom w:val="single" w:sz="4" w:space="0" w:color="auto"/>
              <w:right w:val="single" w:sz="4" w:space="0" w:color="auto"/>
            </w:tcBorders>
          </w:tcPr>
          <w:p w:rsidR="00B4155D" w:rsidRPr="00BC2ED9" w:rsidRDefault="00592EA4" w:rsidP="00AC192C">
            <w:pPr>
              <w:pStyle w:val="NormalWeb"/>
              <w:spacing w:before="0" w:beforeAutospacing="0" w:after="0" w:afterAutospacing="0"/>
              <w:jc w:val="both"/>
              <w:rPr>
                <w:sz w:val="22"/>
                <w:szCs w:val="22"/>
              </w:rPr>
            </w:pPr>
            <w:r w:rsidRPr="00070213">
              <w:rPr>
                <w:sz w:val="22"/>
                <w:szCs w:val="22"/>
              </w:rPr>
              <w:t>Отразено</w:t>
            </w:r>
            <w:r w:rsidR="00B14B3F" w:rsidRPr="00070213">
              <w:rPr>
                <w:sz w:val="22"/>
                <w:szCs w:val="22"/>
              </w:rPr>
              <w:t xml:space="preserve"> е в текста</w:t>
            </w:r>
            <w:r w:rsidRPr="00070213">
              <w:rPr>
                <w:sz w:val="22"/>
                <w:szCs w:val="22"/>
              </w:rPr>
              <w:t>.</w:t>
            </w:r>
          </w:p>
        </w:tc>
      </w:tr>
      <w:tr w:rsidR="00B4155D" w:rsidRPr="00070213" w:rsidTr="00B35421">
        <w:tc>
          <w:tcPr>
            <w:tcW w:w="2610" w:type="dxa"/>
            <w:vMerge/>
            <w:tcBorders>
              <w:left w:val="single" w:sz="4" w:space="0" w:color="auto"/>
              <w:right w:val="single" w:sz="4" w:space="0" w:color="auto"/>
            </w:tcBorders>
            <w:shd w:val="clear" w:color="auto" w:fill="D0CECE" w:themeFill="background2" w:themeFillShade="E6"/>
          </w:tcPr>
          <w:p w:rsidR="00B4155D" w:rsidRPr="00BC2ED9" w:rsidRDefault="00B4155D" w:rsidP="00AC192C">
            <w:pPr>
              <w:jc w:val="both"/>
              <w:rPr>
                <w:b/>
                <w:sz w:val="22"/>
                <w:szCs w:val="22"/>
                <w:lang w:val="bg-BG"/>
              </w:rPr>
            </w:pPr>
          </w:p>
        </w:tc>
        <w:tc>
          <w:tcPr>
            <w:tcW w:w="6102" w:type="dxa"/>
            <w:tcBorders>
              <w:top w:val="single" w:sz="4" w:space="0" w:color="auto"/>
              <w:left w:val="single" w:sz="4" w:space="0" w:color="auto"/>
              <w:bottom w:val="single" w:sz="4" w:space="0" w:color="auto"/>
              <w:right w:val="single" w:sz="4" w:space="0" w:color="auto"/>
            </w:tcBorders>
          </w:tcPr>
          <w:p w:rsidR="000D7B2B" w:rsidRPr="00BC2ED9" w:rsidRDefault="00452FA1" w:rsidP="00AC192C">
            <w:pPr>
              <w:jc w:val="both"/>
              <w:rPr>
                <w:sz w:val="22"/>
                <w:szCs w:val="22"/>
                <w:lang w:val="bg-BG"/>
              </w:rPr>
            </w:pPr>
            <w:r w:rsidRPr="00070213">
              <w:rPr>
                <w:sz w:val="22"/>
                <w:szCs w:val="22"/>
                <w:lang w:val="bg-BG"/>
              </w:rPr>
              <w:t xml:space="preserve">2. </w:t>
            </w:r>
            <w:r w:rsidR="000D7B2B" w:rsidRPr="00070213">
              <w:rPr>
                <w:sz w:val="22"/>
                <w:szCs w:val="22"/>
                <w:lang w:val="bg-BG"/>
              </w:rPr>
              <w:t>В чл. 3, ал. 2 да бъде създадена нова т. 6 със следното съдържание:</w:t>
            </w:r>
          </w:p>
          <w:p w:rsidR="000D7B2B" w:rsidRPr="00BC2ED9" w:rsidRDefault="00816C11" w:rsidP="00AC192C">
            <w:pPr>
              <w:jc w:val="both"/>
              <w:rPr>
                <w:i/>
                <w:sz w:val="22"/>
                <w:szCs w:val="22"/>
                <w:lang w:val="bg-BG"/>
              </w:rPr>
            </w:pPr>
            <w:r w:rsidRPr="00070213">
              <w:rPr>
                <w:i/>
                <w:sz w:val="22"/>
                <w:szCs w:val="22"/>
                <w:lang w:val="bg-BG"/>
              </w:rPr>
              <w:t>„</w:t>
            </w:r>
            <w:r w:rsidR="000D7B2B" w:rsidRPr="00070213">
              <w:rPr>
                <w:i/>
                <w:sz w:val="22"/>
                <w:szCs w:val="22"/>
                <w:lang w:val="bg-BG"/>
              </w:rPr>
              <w:t>избор на трасе на линейна физическа инфраструктура за разполагане на електронни съобщителни мрежи.</w:t>
            </w:r>
            <w:r w:rsidRPr="00070213">
              <w:rPr>
                <w:i/>
                <w:sz w:val="22"/>
                <w:szCs w:val="22"/>
                <w:lang w:val="bg-BG"/>
              </w:rPr>
              <w:t>“</w:t>
            </w:r>
          </w:p>
          <w:p w:rsidR="00B4155D" w:rsidRPr="00BC2ED9" w:rsidRDefault="000D7B2B" w:rsidP="00AC192C">
            <w:pPr>
              <w:jc w:val="both"/>
              <w:rPr>
                <w:i/>
                <w:sz w:val="22"/>
                <w:szCs w:val="22"/>
                <w:lang w:val="bg-BG"/>
              </w:rPr>
            </w:pPr>
            <w:r w:rsidRPr="00070213">
              <w:rPr>
                <w:b/>
                <w:sz w:val="22"/>
                <w:szCs w:val="22"/>
                <w:lang w:val="bg-BG"/>
              </w:rPr>
              <w:t>Мотиви:</w:t>
            </w:r>
            <w:r w:rsidRPr="00070213">
              <w:rPr>
                <w:sz w:val="22"/>
                <w:szCs w:val="22"/>
                <w:lang w:val="bg-BG"/>
              </w:rPr>
              <w:t xml:space="preserve"> Съгласно чл. 50, ал. I от ЗЕСМФИ, </w:t>
            </w:r>
            <w:r w:rsidRPr="00070213">
              <w:rPr>
                <w:i/>
                <w:sz w:val="22"/>
                <w:szCs w:val="22"/>
                <w:lang w:val="bg-BG"/>
              </w:rPr>
              <w:t>трасет</w:t>
            </w:r>
            <w:r w:rsidR="00816C11" w:rsidRPr="00070213">
              <w:rPr>
                <w:i/>
                <w:sz w:val="22"/>
                <w:szCs w:val="22"/>
                <w:lang w:val="bg-BG"/>
              </w:rPr>
              <w:t>о</w:t>
            </w:r>
            <w:r w:rsidRPr="00070213">
              <w:rPr>
                <w:i/>
                <w:sz w:val="22"/>
                <w:szCs w:val="22"/>
                <w:lang w:val="bg-BG"/>
              </w:rPr>
              <w:t xml:space="preserve"> на линейната физическа инфраструктура за разполагане на електронни съобщителни мрежи се определя </w:t>
            </w:r>
            <w:r w:rsidR="00816C11" w:rsidRPr="00394C5D">
              <w:rPr>
                <w:i/>
                <w:sz w:val="22"/>
                <w:szCs w:val="22"/>
                <w:lang w:val="bg-BG"/>
              </w:rPr>
              <w:t xml:space="preserve">с </w:t>
            </w:r>
            <w:r w:rsidRPr="00394C5D">
              <w:rPr>
                <w:i/>
                <w:sz w:val="22"/>
                <w:szCs w:val="22"/>
                <w:lang w:val="bg-BG"/>
              </w:rPr>
              <w:t>подробн</w:t>
            </w:r>
            <w:r w:rsidRPr="001455CC">
              <w:rPr>
                <w:i/>
                <w:sz w:val="22"/>
                <w:szCs w:val="22"/>
                <w:lang w:val="bg-BG"/>
              </w:rPr>
              <w:t>ия устройствен план, одобрен при условията и по реда на Закона за устройство на територията. При избора на трасе се използват данните от кадастралната карта</w:t>
            </w:r>
            <w:r w:rsidR="00816C11" w:rsidRPr="000C225E">
              <w:rPr>
                <w:i/>
                <w:sz w:val="22"/>
                <w:szCs w:val="22"/>
                <w:lang w:val="bg-BG"/>
              </w:rPr>
              <w:t xml:space="preserve"> и </w:t>
            </w:r>
            <w:r w:rsidRPr="00070213">
              <w:rPr>
                <w:i/>
                <w:sz w:val="22"/>
                <w:szCs w:val="22"/>
                <w:lang w:val="bg-BG"/>
              </w:rPr>
              <w:lastRenderedPageBreak/>
              <w:t xml:space="preserve">кадастралните регистри и от специализираните карти и регистри и информационни системи, както и от наличните планове по § 6, ал. 7 от преходните разпоредби на Закона </w:t>
            </w:r>
            <w:r w:rsidR="00816C11" w:rsidRPr="00070213">
              <w:rPr>
                <w:i/>
                <w:sz w:val="22"/>
                <w:szCs w:val="22"/>
                <w:lang w:val="bg-BG"/>
              </w:rPr>
              <w:t>з</w:t>
            </w:r>
            <w:r w:rsidRPr="00070213">
              <w:rPr>
                <w:i/>
                <w:sz w:val="22"/>
                <w:szCs w:val="22"/>
                <w:lang w:val="bg-BG"/>
              </w:rPr>
              <w:t>а устройство на територията.</w:t>
            </w:r>
          </w:p>
          <w:p w:rsidR="00816C11" w:rsidRPr="00BC2ED9" w:rsidRDefault="00816C11" w:rsidP="00AC192C">
            <w:pPr>
              <w:jc w:val="both"/>
              <w:rPr>
                <w:sz w:val="22"/>
                <w:szCs w:val="22"/>
                <w:lang w:val="bg-BG"/>
              </w:rPr>
            </w:pPr>
            <w:r w:rsidRPr="00070213">
              <w:rPr>
                <w:sz w:val="22"/>
                <w:szCs w:val="22"/>
                <w:lang w:val="bg-BG"/>
              </w:rPr>
              <w:t>Предложението е с цел изчерпателност на хипотезите, в които се използва информацията от специализираните карти и регистри.</w:t>
            </w:r>
          </w:p>
        </w:tc>
        <w:tc>
          <w:tcPr>
            <w:tcW w:w="1543" w:type="dxa"/>
            <w:tcBorders>
              <w:top w:val="single" w:sz="4" w:space="0" w:color="auto"/>
              <w:left w:val="single" w:sz="4" w:space="0" w:color="auto"/>
              <w:bottom w:val="single" w:sz="4" w:space="0" w:color="auto"/>
              <w:right w:val="single" w:sz="4" w:space="0" w:color="auto"/>
            </w:tcBorders>
          </w:tcPr>
          <w:p w:rsidR="00B4155D" w:rsidRPr="00BC2ED9" w:rsidRDefault="00592EA4" w:rsidP="00B14B3F">
            <w:pPr>
              <w:ind w:right="-103"/>
              <w:jc w:val="center"/>
              <w:rPr>
                <w:sz w:val="22"/>
                <w:szCs w:val="22"/>
                <w:lang w:val="bg-BG"/>
              </w:rPr>
            </w:pPr>
            <w:r w:rsidRPr="00070213">
              <w:rPr>
                <w:sz w:val="22"/>
                <w:szCs w:val="22"/>
                <w:lang w:val="bg-BG"/>
              </w:rPr>
              <w:lastRenderedPageBreak/>
              <w:t>Приема се</w:t>
            </w:r>
          </w:p>
        </w:tc>
        <w:tc>
          <w:tcPr>
            <w:tcW w:w="4380" w:type="dxa"/>
            <w:tcBorders>
              <w:top w:val="single" w:sz="4" w:space="0" w:color="auto"/>
              <w:left w:val="single" w:sz="4" w:space="0" w:color="auto"/>
              <w:bottom w:val="single" w:sz="4" w:space="0" w:color="auto"/>
              <w:right w:val="single" w:sz="4" w:space="0" w:color="auto"/>
            </w:tcBorders>
          </w:tcPr>
          <w:p w:rsidR="00B4155D" w:rsidRPr="00BC2ED9" w:rsidRDefault="00592EA4" w:rsidP="00AC192C">
            <w:pPr>
              <w:pStyle w:val="NormalWeb"/>
              <w:spacing w:before="0" w:beforeAutospacing="0" w:after="0" w:afterAutospacing="0"/>
              <w:jc w:val="both"/>
              <w:rPr>
                <w:sz w:val="22"/>
                <w:szCs w:val="22"/>
              </w:rPr>
            </w:pPr>
            <w:r w:rsidRPr="00070213">
              <w:rPr>
                <w:sz w:val="22"/>
                <w:szCs w:val="22"/>
              </w:rPr>
              <w:t>Отразено</w:t>
            </w:r>
            <w:r w:rsidR="00B14B3F" w:rsidRPr="00BC2ED9">
              <w:rPr>
                <w:sz w:val="22"/>
                <w:szCs w:val="22"/>
              </w:rPr>
              <w:t xml:space="preserve"> </w:t>
            </w:r>
            <w:r w:rsidR="00B14B3F" w:rsidRPr="00070213">
              <w:rPr>
                <w:sz w:val="22"/>
                <w:szCs w:val="22"/>
              </w:rPr>
              <w:t>е в текста</w:t>
            </w:r>
            <w:r w:rsidRPr="00070213">
              <w:rPr>
                <w:sz w:val="22"/>
                <w:szCs w:val="22"/>
              </w:rPr>
              <w:t>.</w:t>
            </w:r>
          </w:p>
        </w:tc>
      </w:tr>
      <w:tr w:rsidR="00B4155D" w:rsidRPr="00070213" w:rsidTr="00B35421">
        <w:tc>
          <w:tcPr>
            <w:tcW w:w="2610" w:type="dxa"/>
            <w:vMerge/>
            <w:tcBorders>
              <w:left w:val="single" w:sz="4" w:space="0" w:color="auto"/>
              <w:right w:val="single" w:sz="4" w:space="0" w:color="auto"/>
            </w:tcBorders>
            <w:shd w:val="clear" w:color="auto" w:fill="D0CECE" w:themeFill="background2" w:themeFillShade="E6"/>
          </w:tcPr>
          <w:p w:rsidR="00B4155D" w:rsidRPr="00BC2ED9" w:rsidRDefault="00B4155D" w:rsidP="00AC192C">
            <w:pPr>
              <w:jc w:val="both"/>
              <w:rPr>
                <w:b/>
                <w:sz w:val="22"/>
                <w:szCs w:val="22"/>
                <w:lang w:val="bg-BG"/>
              </w:rPr>
            </w:pPr>
          </w:p>
        </w:tc>
        <w:tc>
          <w:tcPr>
            <w:tcW w:w="6102" w:type="dxa"/>
            <w:tcBorders>
              <w:top w:val="single" w:sz="4" w:space="0" w:color="auto"/>
              <w:left w:val="single" w:sz="4" w:space="0" w:color="auto"/>
              <w:bottom w:val="single" w:sz="4" w:space="0" w:color="auto"/>
              <w:right w:val="single" w:sz="4" w:space="0" w:color="auto"/>
            </w:tcBorders>
          </w:tcPr>
          <w:p w:rsidR="00F74A5D" w:rsidRPr="00BC2ED9" w:rsidRDefault="00F74A5D" w:rsidP="00AC192C">
            <w:pPr>
              <w:widowControl w:val="0"/>
              <w:tabs>
                <w:tab w:val="left" w:pos="851"/>
              </w:tabs>
              <w:autoSpaceDE w:val="0"/>
              <w:autoSpaceDN w:val="0"/>
              <w:adjustRightInd w:val="0"/>
              <w:spacing w:after="120"/>
              <w:jc w:val="both"/>
              <w:rPr>
                <w:sz w:val="22"/>
                <w:szCs w:val="22"/>
                <w:lang w:val="bg-BG"/>
              </w:rPr>
            </w:pPr>
            <w:r w:rsidRPr="00070213">
              <w:rPr>
                <w:sz w:val="22"/>
                <w:szCs w:val="22"/>
                <w:lang w:val="bg-BG"/>
              </w:rPr>
              <w:t>3. В чл. 4, ал. 2, т. 2 преди „от мрежовите оператори“ да бъде добавено „от операторите на електронни съобщителни мрежи,“.</w:t>
            </w:r>
          </w:p>
          <w:p w:rsidR="00B4155D" w:rsidRPr="00BC2ED9" w:rsidRDefault="00F74A5D" w:rsidP="00AC192C">
            <w:pPr>
              <w:widowControl w:val="0"/>
              <w:tabs>
                <w:tab w:val="left" w:pos="851"/>
              </w:tabs>
              <w:autoSpaceDE w:val="0"/>
              <w:autoSpaceDN w:val="0"/>
              <w:adjustRightInd w:val="0"/>
              <w:jc w:val="both"/>
              <w:rPr>
                <w:sz w:val="22"/>
                <w:szCs w:val="22"/>
                <w:lang w:val="bg-BG"/>
              </w:rPr>
            </w:pPr>
            <w:r w:rsidRPr="00070213">
              <w:rPr>
                <w:b/>
                <w:sz w:val="22"/>
                <w:szCs w:val="22"/>
                <w:lang w:val="bg-BG"/>
              </w:rPr>
              <w:t>Мотиви:</w:t>
            </w:r>
            <w:r w:rsidRPr="00070213">
              <w:rPr>
                <w:sz w:val="22"/>
                <w:szCs w:val="22"/>
                <w:lang w:val="bg-BG"/>
              </w:rPr>
              <w:t xml:space="preserve"> Субект на задължението по чл. 57, ал. 3, т. 2 за предоставяне на специализирани данни при изработването на специализираните карти и регистри са и от операторите на ЕСМ. Предложението е с цел ясн</w:t>
            </w:r>
            <w:r w:rsidR="00140E84" w:rsidRPr="00394C5D">
              <w:rPr>
                <w:sz w:val="22"/>
                <w:szCs w:val="22"/>
                <w:lang w:val="bg-BG"/>
              </w:rPr>
              <w:t>ота и непротиворечиво прилагане</w:t>
            </w:r>
            <w:r w:rsidRPr="00394C5D">
              <w:rPr>
                <w:sz w:val="22"/>
                <w:szCs w:val="22"/>
                <w:lang w:val="bg-BG"/>
              </w:rPr>
              <w:t xml:space="preserve"> на посочената разпоредба, доколкото „мрежов оператор“ в тесен смисъл (§ 1, т. 3 от ДР на ЗЕСМФИ) не включва операторите на ЕСМ.</w:t>
            </w:r>
          </w:p>
        </w:tc>
        <w:tc>
          <w:tcPr>
            <w:tcW w:w="1543" w:type="dxa"/>
            <w:tcBorders>
              <w:top w:val="single" w:sz="4" w:space="0" w:color="auto"/>
              <w:left w:val="single" w:sz="4" w:space="0" w:color="auto"/>
              <w:bottom w:val="single" w:sz="4" w:space="0" w:color="auto"/>
              <w:right w:val="single" w:sz="4" w:space="0" w:color="auto"/>
            </w:tcBorders>
          </w:tcPr>
          <w:p w:rsidR="00B4155D" w:rsidRPr="00BC2ED9" w:rsidRDefault="00592EA4" w:rsidP="00B14B3F">
            <w:pPr>
              <w:ind w:right="-103"/>
              <w:jc w:val="center"/>
              <w:rPr>
                <w:sz w:val="22"/>
                <w:szCs w:val="22"/>
                <w:lang w:val="bg-BG"/>
              </w:rPr>
            </w:pPr>
            <w:r w:rsidRPr="00070213">
              <w:rPr>
                <w:sz w:val="22"/>
                <w:szCs w:val="22"/>
                <w:lang w:val="bg-BG"/>
              </w:rPr>
              <w:t>Не се приема</w:t>
            </w:r>
          </w:p>
        </w:tc>
        <w:tc>
          <w:tcPr>
            <w:tcW w:w="4380" w:type="dxa"/>
            <w:tcBorders>
              <w:top w:val="single" w:sz="4" w:space="0" w:color="auto"/>
              <w:left w:val="single" w:sz="4" w:space="0" w:color="auto"/>
              <w:bottom w:val="single" w:sz="4" w:space="0" w:color="auto"/>
              <w:right w:val="single" w:sz="4" w:space="0" w:color="auto"/>
            </w:tcBorders>
          </w:tcPr>
          <w:p w:rsidR="00B4155D" w:rsidRPr="00BC2ED9" w:rsidRDefault="00592EA4" w:rsidP="00AC192C">
            <w:pPr>
              <w:pStyle w:val="NormalWeb"/>
              <w:spacing w:before="0" w:beforeAutospacing="0" w:after="0" w:afterAutospacing="0"/>
              <w:jc w:val="both"/>
              <w:rPr>
                <w:sz w:val="22"/>
                <w:szCs w:val="22"/>
              </w:rPr>
            </w:pPr>
            <w:r w:rsidRPr="00070213">
              <w:rPr>
                <w:sz w:val="22"/>
                <w:szCs w:val="22"/>
              </w:rPr>
              <w:t>Съгласно т. 4 от ДР на ЗЕСМФИ „Операторите на електронни съобщителни мрежи са мрежови оператори по смисъла на т. 3“.</w:t>
            </w:r>
          </w:p>
        </w:tc>
      </w:tr>
      <w:tr w:rsidR="00B4155D" w:rsidRPr="00070213" w:rsidTr="00B35421">
        <w:tc>
          <w:tcPr>
            <w:tcW w:w="2610" w:type="dxa"/>
            <w:vMerge/>
            <w:tcBorders>
              <w:left w:val="single" w:sz="4" w:space="0" w:color="auto"/>
              <w:right w:val="single" w:sz="4" w:space="0" w:color="auto"/>
            </w:tcBorders>
            <w:shd w:val="clear" w:color="auto" w:fill="D0CECE" w:themeFill="background2" w:themeFillShade="E6"/>
          </w:tcPr>
          <w:p w:rsidR="00B4155D" w:rsidRPr="00BC2ED9" w:rsidRDefault="00B4155D" w:rsidP="00AC192C">
            <w:pPr>
              <w:jc w:val="both"/>
              <w:rPr>
                <w:b/>
                <w:sz w:val="22"/>
                <w:szCs w:val="22"/>
                <w:lang w:val="bg-BG"/>
              </w:rPr>
            </w:pPr>
          </w:p>
        </w:tc>
        <w:tc>
          <w:tcPr>
            <w:tcW w:w="6102" w:type="dxa"/>
            <w:tcBorders>
              <w:top w:val="single" w:sz="4" w:space="0" w:color="auto"/>
              <w:left w:val="single" w:sz="4" w:space="0" w:color="auto"/>
              <w:bottom w:val="single" w:sz="4" w:space="0" w:color="auto"/>
              <w:right w:val="single" w:sz="4" w:space="0" w:color="auto"/>
            </w:tcBorders>
          </w:tcPr>
          <w:p w:rsidR="00A569B7" w:rsidRPr="00BC2ED9" w:rsidRDefault="00A569B7" w:rsidP="00AC192C">
            <w:pPr>
              <w:jc w:val="both"/>
              <w:rPr>
                <w:sz w:val="22"/>
                <w:szCs w:val="22"/>
                <w:lang w:val="bg-BG"/>
              </w:rPr>
            </w:pPr>
            <w:r w:rsidRPr="00070213">
              <w:rPr>
                <w:sz w:val="22"/>
                <w:szCs w:val="22"/>
                <w:lang w:val="bg-BG"/>
              </w:rPr>
              <w:t>4. В чл. 4, ал. 2, т. 3 преди „кадастралните планове“ да бъде добавено „копия от“.</w:t>
            </w:r>
          </w:p>
          <w:p w:rsidR="00B4155D" w:rsidRPr="00BC2ED9" w:rsidRDefault="00A569B7" w:rsidP="00AC192C">
            <w:pPr>
              <w:jc w:val="both"/>
              <w:rPr>
                <w:b/>
                <w:sz w:val="22"/>
                <w:szCs w:val="22"/>
                <w:lang w:val="bg-BG"/>
              </w:rPr>
            </w:pPr>
            <w:r w:rsidRPr="00070213">
              <w:rPr>
                <w:b/>
                <w:sz w:val="22"/>
                <w:szCs w:val="22"/>
                <w:lang w:val="bg-BG"/>
              </w:rPr>
              <w:t>Мотиви:</w:t>
            </w:r>
            <w:r w:rsidRPr="00070213">
              <w:rPr>
                <w:sz w:val="22"/>
                <w:szCs w:val="22"/>
                <w:lang w:val="bg-BG"/>
              </w:rPr>
              <w:t xml:space="preserve"> Предложението е редакционно и е с оглед чл. 57, ал. 3, т. 3 от ЗЕСМФИ.</w:t>
            </w:r>
          </w:p>
        </w:tc>
        <w:tc>
          <w:tcPr>
            <w:tcW w:w="1543" w:type="dxa"/>
            <w:tcBorders>
              <w:top w:val="single" w:sz="4" w:space="0" w:color="auto"/>
              <w:left w:val="single" w:sz="4" w:space="0" w:color="auto"/>
              <w:bottom w:val="single" w:sz="4" w:space="0" w:color="auto"/>
              <w:right w:val="single" w:sz="4" w:space="0" w:color="auto"/>
            </w:tcBorders>
          </w:tcPr>
          <w:p w:rsidR="00B4155D" w:rsidRPr="00BC2ED9" w:rsidRDefault="00592EA4" w:rsidP="00B14B3F">
            <w:pPr>
              <w:ind w:right="-103"/>
              <w:jc w:val="center"/>
              <w:rPr>
                <w:sz w:val="22"/>
                <w:szCs w:val="22"/>
                <w:lang w:val="bg-BG"/>
              </w:rPr>
            </w:pPr>
            <w:r w:rsidRPr="00070213">
              <w:rPr>
                <w:sz w:val="22"/>
                <w:szCs w:val="22"/>
                <w:lang w:val="bg-BG"/>
              </w:rPr>
              <w:t>Приема се</w:t>
            </w:r>
          </w:p>
        </w:tc>
        <w:tc>
          <w:tcPr>
            <w:tcW w:w="4380" w:type="dxa"/>
            <w:tcBorders>
              <w:top w:val="single" w:sz="4" w:space="0" w:color="auto"/>
              <w:left w:val="single" w:sz="4" w:space="0" w:color="auto"/>
              <w:bottom w:val="single" w:sz="4" w:space="0" w:color="auto"/>
              <w:right w:val="single" w:sz="4" w:space="0" w:color="auto"/>
            </w:tcBorders>
          </w:tcPr>
          <w:p w:rsidR="00B4155D" w:rsidRPr="00BC2ED9" w:rsidRDefault="00592EA4" w:rsidP="00AC192C">
            <w:pPr>
              <w:pStyle w:val="NormalWeb"/>
              <w:spacing w:before="0" w:beforeAutospacing="0" w:after="0" w:afterAutospacing="0"/>
              <w:jc w:val="both"/>
              <w:rPr>
                <w:sz w:val="22"/>
                <w:szCs w:val="22"/>
              </w:rPr>
            </w:pPr>
            <w:r w:rsidRPr="00070213">
              <w:rPr>
                <w:sz w:val="22"/>
                <w:szCs w:val="22"/>
              </w:rPr>
              <w:t xml:space="preserve">Отразено </w:t>
            </w:r>
            <w:r w:rsidR="00B14B3F" w:rsidRPr="00070213">
              <w:rPr>
                <w:sz w:val="22"/>
                <w:szCs w:val="22"/>
              </w:rPr>
              <w:t xml:space="preserve">е </w:t>
            </w:r>
            <w:r w:rsidRPr="00070213">
              <w:rPr>
                <w:sz w:val="22"/>
                <w:szCs w:val="22"/>
              </w:rPr>
              <w:t>в текста</w:t>
            </w:r>
            <w:r w:rsidR="00B14B3F" w:rsidRPr="00394C5D">
              <w:rPr>
                <w:sz w:val="22"/>
                <w:szCs w:val="22"/>
              </w:rPr>
              <w:t>.</w:t>
            </w:r>
          </w:p>
        </w:tc>
      </w:tr>
      <w:tr w:rsidR="00B4155D" w:rsidRPr="00070213" w:rsidTr="00B35421">
        <w:tc>
          <w:tcPr>
            <w:tcW w:w="2610" w:type="dxa"/>
            <w:vMerge/>
            <w:tcBorders>
              <w:left w:val="single" w:sz="4" w:space="0" w:color="auto"/>
              <w:right w:val="single" w:sz="4" w:space="0" w:color="auto"/>
            </w:tcBorders>
            <w:shd w:val="clear" w:color="auto" w:fill="D0CECE" w:themeFill="background2" w:themeFillShade="E6"/>
          </w:tcPr>
          <w:p w:rsidR="00B4155D" w:rsidRPr="00BC2ED9" w:rsidRDefault="00B4155D" w:rsidP="00AC192C">
            <w:pPr>
              <w:jc w:val="both"/>
              <w:rPr>
                <w:b/>
                <w:sz w:val="22"/>
                <w:szCs w:val="22"/>
                <w:lang w:val="bg-BG"/>
              </w:rPr>
            </w:pPr>
          </w:p>
        </w:tc>
        <w:tc>
          <w:tcPr>
            <w:tcW w:w="6102" w:type="dxa"/>
            <w:tcBorders>
              <w:top w:val="single" w:sz="4" w:space="0" w:color="auto"/>
              <w:left w:val="single" w:sz="4" w:space="0" w:color="auto"/>
              <w:bottom w:val="single" w:sz="4" w:space="0" w:color="auto"/>
              <w:right w:val="single" w:sz="4" w:space="0" w:color="auto"/>
            </w:tcBorders>
          </w:tcPr>
          <w:p w:rsidR="00814F69" w:rsidRPr="00BC2ED9" w:rsidRDefault="00814F69" w:rsidP="00AC192C">
            <w:pPr>
              <w:jc w:val="both"/>
              <w:rPr>
                <w:sz w:val="22"/>
                <w:szCs w:val="22"/>
                <w:lang w:val="bg-BG"/>
              </w:rPr>
            </w:pPr>
            <w:r w:rsidRPr="00070213">
              <w:rPr>
                <w:sz w:val="22"/>
                <w:szCs w:val="22"/>
                <w:lang w:val="bg-BG"/>
              </w:rPr>
              <w:t>5. В чл. 4 да бъде създадена нова ал, 4 със следното съдържание:</w:t>
            </w:r>
          </w:p>
          <w:p w:rsidR="00814F69" w:rsidRPr="00BC2ED9" w:rsidRDefault="00814F69" w:rsidP="00AC192C">
            <w:pPr>
              <w:jc w:val="both"/>
              <w:rPr>
                <w:i/>
                <w:sz w:val="22"/>
                <w:szCs w:val="22"/>
                <w:lang w:val="bg-BG"/>
              </w:rPr>
            </w:pPr>
            <w:r w:rsidRPr="00070213">
              <w:rPr>
                <w:i/>
                <w:sz w:val="22"/>
                <w:szCs w:val="22"/>
                <w:lang w:val="bg-BG"/>
              </w:rPr>
              <w:t>„Държавните органи и органите на общинската администрация предоставят информацията no aл. 2 безвъзмездно.“</w:t>
            </w:r>
          </w:p>
          <w:p w:rsidR="00B4155D" w:rsidRPr="00BC2ED9" w:rsidRDefault="00814F69" w:rsidP="00AC192C">
            <w:pPr>
              <w:jc w:val="both"/>
              <w:rPr>
                <w:sz w:val="22"/>
                <w:szCs w:val="22"/>
                <w:lang w:val="bg-BG"/>
              </w:rPr>
            </w:pPr>
            <w:r w:rsidRPr="00070213">
              <w:rPr>
                <w:b/>
                <w:sz w:val="22"/>
                <w:szCs w:val="22"/>
                <w:lang w:val="bg-BG"/>
              </w:rPr>
              <w:t>Мотиви:</w:t>
            </w:r>
            <w:r w:rsidRPr="00070213">
              <w:rPr>
                <w:sz w:val="22"/>
                <w:szCs w:val="22"/>
                <w:lang w:val="bg-BG"/>
              </w:rPr>
              <w:t xml:space="preserve"> Член 4, ал. 3 от Проекта предвижда, че Агенцията по геодезия, картография и кадастър предоставя данните от кадастралната карта и кадастралните регистри и специализираните данни при условията и по реда на ЗКИР. С оглед чл. 57, ал. 4 от ЗЕСМФИ, считаме че в Наредбата следва да бъде включена и предложената нова алинея.</w:t>
            </w:r>
          </w:p>
        </w:tc>
        <w:tc>
          <w:tcPr>
            <w:tcW w:w="1543" w:type="dxa"/>
            <w:tcBorders>
              <w:top w:val="single" w:sz="4" w:space="0" w:color="auto"/>
              <w:left w:val="single" w:sz="4" w:space="0" w:color="auto"/>
              <w:bottom w:val="single" w:sz="4" w:space="0" w:color="auto"/>
              <w:right w:val="single" w:sz="4" w:space="0" w:color="auto"/>
            </w:tcBorders>
          </w:tcPr>
          <w:p w:rsidR="00B4155D" w:rsidRPr="00BC2ED9" w:rsidRDefault="00F85FAC" w:rsidP="00AC192C">
            <w:pPr>
              <w:ind w:right="-103"/>
              <w:jc w:val="center"/>
              <w:rPr>
                <w:sz w:val="22"/>
                <w:szCs w:val="22"/>
                <w:highlight w:val="yellow"/>
                <w:lang w:val="bg-BG"/>
              </w:rPr>
            </w:pPr>
            <w:r w:rsidRPr="00070213">
              <w:rPr>
                <w:sz w:val="22"/>
                <w:szCs w:val="22"/>
                <w:lang w:val="bg-BG"/>
              </w:rPr>
              <w:t>Приема се</w:t>
            </w:r>
          </w:p>
        </w:tc>
        <w:tc>
          <w:tcPr>
            <w:tcW w:w="4380" w:type="dxa"/>
            <w:tcBorders>
              <w:top w:val="single" w:sz="4" w:space="0" w:color="auto"/>
              <w:left w:val="single" w:sz="4" w:space="0" w:color="auto"/>
              <w:bottom w:val="single" w:sz="4" w:space="0" w:color="auto"/>
              <w:right w:val="single" w:sz="4" w:space="0" w:color="auto"/>
            </w:tcBorders>
          </w:tcPr>
          <w:p w:rsidR="00B4155D" w:rsidRPr="00BC2ED9" w:rsidRDefault="00F85FAC" w:rsidP="00AC192C">
            <w:pPr>
              <w:pStyle w:val="NormalWeb"/>
              <w:spacing w:before="0" w:beforeAutospacing="0" w:after="0" w:afterAutospacing="0"/>
              <w:jc w:val="both"/>
              <w:rPr>
                <w:sz w:val="22"/>
                <w:szCs w:val="22"/>
                <w:highlight w:val="yellow"/>
              </w:rPr>
            </w:pPr>
            <w:r w:rsidRPr="00070213">
              <w:rPr>
                <w:sz w:val="22"/>
                <w:szCs w:val="22"/>
              </w:rPr>
              <w:t>Отразено е в текста.</w:t>
            </w:r>
          </w:p>
        </w:tc>
      </w:tr>
      <w:tr w:rsidR="00B4155D" w:rsidRPr="00070213" w:rsidTr="00B35421">
        <w:tc>
          <w:tcPr>
            <w:tcW w:w="2610" w:type="dxa"/>
            <w:vMerge/>
            <w:tcBorders>
              <w:left w:val="single" w:sz="4" w:space="0" w:color="auto"/>
              <w:right w:val="single" w:sz="4" w:space="0" w:color="auto"/>
            </w:tcBorders>
            <w:shd w:val="clear" w:color="auto" w:fill="D0CECE" w:themeFill="background2" w:themeFillShade="E6"/>
          </w:tcPr>
          <w:p w:rsidR="00B4155D" w:rsidRPr="00BC2ED9" w:rsidRDefault="00B4155D" w:rsidP="00AC192C">
            <w:pPr>
              <w:jc w:val="both"/>
              <w:rPr>
                <w:b/>
                <w:sz w:val="22"/>
                <w:szCs w:val="22"/>
                <w:lang w:val="bg-BG"/>
              </w:rPr>
            </w:pPr>
          </w:p>
        </w:tc>
        <w:tc>
          <w:tcPr>
            <w:tcW w:w="6102" w:type="dxa"/>
            <w:tcBorders>
              <w:top w:val="single" w:sz="4" w:space="0" w:color="auto"/>
              <w:left w:val="single" w:sz="4" w:space="0" w:color="auto"/>
              <w:bottom w:val="single" w:sz="4" w:space="0" w:color="auto"/>
              <w:right w:val="single" w:sz="4" w:space="0" w:color="auto"/>
            </w:tcBorders>
          </w:tcPr>
          <w:p w:rsidR="000310D2" w:rsidRPr="00BC2ED9" w:rsidRDefault="000310D2" w:rsidP="00AC192C">
            <w:pPr>
              <w:jc w:val="both"/>
              <w:rPr>
                <w:sz w:val="22"/>
                <w:szCs w:val="22"/>
                <w:lang w:val="bg-BG"/>
              </w:rPr>
            </w:pPr>
            <w:r w:rsidRPr="00070213">
              <w:rPr>
                <w:sz w:val="22"/>
                <w:szCs w:val="22"/>
                <w:lang w:val="bg-BG"/>
              </w:rPr>
              <w:t>6. В § 6 от ПЗР изразът „следва да изработят“ да бъде заменен с думата „изработват“.</w:t>
            </w:r>
          </w:p>
          <w:p w:rsidR="000310D2" w:rsidRPr="00BC2ED9" w:rsidRDefault="000310D2" w:rsidP="00AC192C">
            <w:pPr>
              <w:jc w:val="both"/>
              <w:rPr>
                <w:sz w:val="22"/>
                <w:szCs w:val="22"/>
                <w:lang w:val="bg-BG"/>
              </w:rPr>
            </w:pPr>
            <w:r w:rsidRPr="00070213">
              <w:rPr>
                <w:b/>
                <w:sz w:val="22"/>
                <w:szCs w:val="22"/>
                <w:lang w:val="bg-BG"/>
              </w:rPr>
              <w:lastRenderedPageBreak/>
              <w:t>Мотиви:</w:t>
            </w:r>
            <w:r w:rsidRPr="00070213">
              <w:rPr>
                <w:sz w:val="22"/>
                <w:szCs w:val="22"/>
                <w:lang w:val="bg-BG"/>
              </w:rPr>
              <w:t xml:space="preserve"> Съгласно чл. 57, ал. 1 от ЗЕСМФИ, </w:t>
            </w:r>
            <w:r w:rsidRPr="00394C5D">
              <w:rPr>
                <w:i/>
                <w:sz w:val="22"/>
                <w:szCs w:val="22"/>
                <w:lang w:val="bg-BG"/>
              </w:rPr>
              <w:t>операторите на електронни съобщителни мрежи създават и поддържат, включително в електронен вид, за разположените от тях електронни съобщителни мрежи, съоръжения и свързаната с тях физическа инфраструктура специализирани карти, регистри, информационни системи по смисъла на Закона за кадастъра и имотния регистър.</w:t>
            </w:r>
          </w:p>
          <w:p w:rsidR="000310D2" w:rsidRPr="00BC2ED9" w:rsidRDefault="000310D2" w:rsidP="00AC192C">
            <w:pPr>
              <w:jc w:val="both"/>
              <w:rPr>
                <w:sz w:val="22"/>
                <w:szCs w:val="22"/>
                <w:lang w:val="bg-BG"/>
              </w:rPr>
            </w:pPr>
            <w:r w:rsidRPr="00070213">
              <w:rPr>
                <w:sz w:val="22"/>
                <w:szCs w:val="22"/>
                <w:lang w:val="bg-BG"/>
              </w:rPr>
              <w:t>Разпоредбата на § 6 от ПЗР на Проекта на наредба предвижда едногодишен срок от влизането и в сила, в който операторите на ЕСМ, които не са създали специализирани карти и регистри по реда на отменената Наредба № 18 от 2005 г., трябва да изработят такива.</w:t>
            </w:r>
          </w:p>
          <w:p w:rsidR="00B4155D" w:rsidRPr="00BC2ED9" w:rsidRDefault="000310D2" w:rsidP="00AC192C">
            <w:pPr>
              <w:jc w:val="both"/>
              <w:rPr>
                <w:sz w:val="22"/>
                <w:szCs w:val="22"/>
                <w:lang w:val="bg-BG"/>
              </w:rPr>
            </w:pPr>
            <w:r w:rsidRPr="00070213">
              <w:rPr>
                <w:sz w:val="22"/>
                <w:szCs w:val="22"/>
                <w:lang w:val="bg-BG"/>
              </w:rPr>
              <w:t xml:space="preserve">Предвид последното, думата „следва“ трябва да отпадне от посочената разпоредба на Проекта. Предложението е в </w:t>
            </w:r>
            <w:r w:rsidRPr="00394C5D">
              <w:rPr>
                <w:sz w:val="22"/>
                <w:szCs w:val="22"/>
                <w:lang w:val="bg-BG"/>
              </w:rPr>
              <w:t>съответствие както с чл. 57, ал. 1 от ЗЕСМФИ, който въвежда законово задължение на операторите на ЕСМ, така и с чл. 9 от Закона за нормативните актове и (ЗНА) и чл. 36 от Указ № 883 от 24.04.1974 г. за прилагане на ЗНА.</w:t>
            </w:r>
          </w:p>
        </w:tc>
        <w:tc>
          <w:tcPr>
            <w:tcW w:w="1543" w:type="dxa"/>
            <w:tcBorders>
              <w:top w:val="single" w:sz="4" w:space="0" w:color="auto"/>
              <w:left w:val="single" w:sz="4" w:space="0" w:color="auto"/>
              <w:bottom w:val="single" w:sz="4" w:space="0" w:color="auto"/>
              <w:right w:val="single" w:sz="4" w:space="0" w:color="auto"/>
            </w:tcBorders>
          </w:tcPr>
          <w:p w:rsidR="00B4155D" w:rsidRPr="00BC2ED9" w:rsidRDefault="00592EA4" w:rsidP="004C307F">
            <w:pPr>
              <w:ind w:right="-103"/>
              <w:jc w:val="center"/>
              <w:rPr>
                <w:sz w:val="22"/>
                <w:szCs w:val="22"/>
                <w:lang w:val="bg-BG"/>
              </w:rPr>
            </w:pPr>
            <w:r w:rsidRPr="00070213">
              <w:rPr>
                <w:sz w:val="22"/>
                <w:szCs w:val="22"/>
                <w:lang w:val="bg-BG"/>
              </w:rPr>
              <w:lastRenderedPageBreak/>
              <w:t>Приема се</w:t>
            </w:r>
          </w:p>
        </w:tc>
        <w:tc>
          <w:tcPr>
            <w:tcW w:w="4380" w:type="dxa"/>
            <w:tcBorders>
              <w:top w:val="single" w:sz="4" w:space="0" w:color="auto"/>
              <w:left w:val="single" w:sz="4" w:space="0" w:color="auto"/>
              <w:bottom w:val="single" w:sz="4" w:space="0" w:color="auto"/>
              <w:right w:val="single" w:sz="4" w:space="0" w:color="auto"/>
            </w:tcBorders>
          </w:tcPr>
          <w:p w:rsidR="00B4155D" w:rsidRPr="00BC2ED9" w:rsidRDefault="00592EA4" w:rsidP="004C307F">
            <w:pPr>
              <w:pStyle w:val="NormalWeb"/>
              <w:spacing w:before="0" w:beforeAutospacing="0" w:after="0" w:afterAutospacing="0"/>
              <w:jc w:val="both"/>
              <w:rPr>
                <w:sz w:val="22"/>
                <w:szCs w:val="22"/>
              </w:rPr>
            </w:pPr>
            <w:r w:rsidRPr="00070213">
              <w:rPr>
                <w:sz w:val="22"/>
                <w:szCs w:val="22"/>
              </w:rPr>
              <w:t xml:space="preserve">Отразено </w:t>
            </w:r>
            <w:r w:rsidR="004C307F" w:rsidRPr="00070213">
              <w:rPr>
                <w:sz w:val="22"/>
                <w:szCs w:val="22"/>
              </w:rPr>
              <w:t xml:space="preserve">е </w:t>
            </w:r>
            <w:r w:rsidRPr="00394C5D">
              <w:rPr>
                <w:sz w:val="22"/>
                <w:szCs w:val="22"/>
              </w:rPr>
              <w:t>в текста</w:t>
            </w:r>
            <w:r w:rsidR="004C307F" w:rsidRPr="00394C5D">
              <w:rPr>
                <w:sz w:val="22"/>
                <w:szCs w:val="22"/>
              </w:rPr>
              <w:t>.</w:t>
            </w:r>
          </w:p>
        </w:tc>
      </w:tr>
      <w:tr w:rsidR="00B4155D" w:rsidRPr="00070213" w:rsidTr="00B35421">
        <w:tc>
          <w:tcPr>
            <w:tcW w:w="2610" w:type="dxa"/>
            <w:vMerge w:val="restart"/>
            <w:tcBorders>
              <w:left w:val="single" w:sz="4" w:space="0" w:color="auto"/>
              <w:right w:val="single" w:sz="4" w:space="0" w:color="auto"/>
            </w:tcBorders>
            <w:shd w:val="clear" w:color="auto" w:fill="D0CECE" w:themeFill="background2" w:themeFillShade="E6"/>
          </w:tcPr>
          <w:p w:rsidR="00B4155D" w:rsidRPr="00BC2ED9" w:rsidRDefault="00296F0B" w:rsidP="00AC192C">
            <w:pPr>
              <w:jc w:val="both"/>
              <w:rPr>
                <w:b/>
                <w:sz w:val="22"/>
                <w:szCs w:val="22"/>
                <w:lang w:val="bg-BG"/>
              </w:rPr>
            </w:pPr>
            <w:r w:rsidRPr="00070213">
              <w:rPr>
                <w:b/>
                <w:sz w:val="22"/>
                <w:szCs w:val="22"/>
              </w:rPr>
              <w:t>„А1 България“ ЕАД</w:t>
            </w: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p w:rsidR="00B4155D" w:rsidRPr="00BC2ED9" w:rsidRDefault="00B4155D" w:rsidP="00AC192C">
            <w:pPr>
              <w:jc w:val="both"/>
              <w:rPr>
                <w:b/>
                <w:sz w:val="22"/>
                <w:szCs w:val="22"/>
                <w:lang w:val="bg-BG"/>
              </w:rPr>
            </w:pPr>
          </w:p>
        </w:tc>
        <w:tc>
          <w:tcPr>
            <w:tcW w:w="6102" w:type="dxa"/>
            <w:tcBorders>
              <w:top w:val="single" w:sz="4" w:space="0" w:color="auto"/>
              <w:left w:val="single" w:sz="4" w:space="0" w:color="auto"/>
              <w:bottom w:val="single" w:sz="4" w:space="0" w:color="auto"/>
              <w:right w:val="single" w:sz="4" w:space="0" w:color="auto"/>
            </w:tcBorders>
          </w:tcPr>
          <w:p w:rsidR="00B4155D" w:rsidRPr="00BC2ED9" w:rsidRDefault="00F279FE" w:rsidP="00AC192C">
            <w:pPr>
              <w:jc w:val="both"/>
              <w:rPr>
                <w:sz w:val="22"/>
                <w:szCs w:val="22"/>
                <w:lang w:val="bg-BG"/>
              </w:rPr>
            </w:pPr>
            <w:r w:rsidRPr="00070213">
              <w:rPr>
                <w:sz w:val="22"/>
                <w:szCs w:val="22"/>
                <w:lang w:val="bg-BG"/>
              </w:rPr>
              <w:lastRenderedPageBreak/>
              <w:t>На първо място, бихме искали да изразим своето положително мнение по отношение на работата на МТИТС, свързана с широкия обхват от нормативни документи по Закона за електронните съобщителни мрежи и физическа инфраструктура (ЗЕСМФИ). Също така е много важно отново да подчертаем, че следва да се стремим към постигане и на една от основните цели на ЗЕСМФИ, която е свързана с улесняване и стимулиране на инвестициите, опростяване на административните процедури при разполагане на високоскоростни електронни съобщит</w:t>
            </w:r>
            <w:r w:rsidRPr="00394C5D">
              <w:rPr>
                <w:sz w:val="22"/>
                <w:szCs w:val="22"/>
                <w:lang w:val="bg-BG"/>
              </w:rPr>
              <w:t>елни мрежи и преодоляване на трудностите при разполагане на електронни съобщителни мрежи в труднодостъпни райони, както и в райони, където нови инженерно-строителни дейности биха имали неблагоприятно въздействие върху околната среда или биха изисквали сериозни инвестиции.</w:t>
            </w:r>
          </w:p>
        </w:tc>
        <w:tc>
          <w:tcPr>
            <w:tcW w:w="1543" w:type="dxa"/>
            <w:tcBorders>
              <w:top w:val="single" w:sz="4" w:space="0" w:color="auto"/>
              <w:left w:val="single" w:sz="4" w:space="0" w:color="auto"/>
              <w:bottom w:val="single" w:sz="4" w:space="0" w:color="auto"/>
              <w:right w:val="single" w:sz="4" w:space="0" w:color="auto"/>
            </w:tcBorders>
          </w:tcPr>
          <w:p w:rsidR="00B4155D" w:rsidRPr="00BC2ED9" w:rsidRDefault="00B4155D" w:rsidP="00AC192C">
            <w:pPr>
              <w:ind w:right="-103"/>
              <w:jc w:val="center"/>
              <w:rPr>
                <w:sz w:val="22"/>
                <w:szCs w:val="22"/>
                <w:lang w:val="bg-BG"/>
              </w:rPr>
            </w:pPr>
          </w:p>
        </w:tc>
        <w:tc>
          <w:tcPr>
            <w:tcW w:w="4380" w:type="dxa"/>
            <w:tcBorders>
              <w:top w:val="single" w:sz="4" w:space="0" w:color="auto"/>
              <w:left w:val="single" w:sz="4" w:space="0" w:color="auto"/>
              <w:bottom w:val="single" w:sz="4" w:space="0" w:color="auto"/>
              <w:right w:val="single" w:sz="4" w:space="0" w:color="auto"/>
            </w:tcBorders>
          </w:tcPr>
          <w:p w:rsidR="00B4155D" w:rsidRPr="00BC2ED9" w:rsidRDefault="00B4155D" w:rsidP="00AC192C">
            <w:pPr>
              <w:pStyle w:val="NormalWeb"/>
              <w:spacing w:before="0" w:beforeAutospacing="0" w:after="0" w:afterAutospacing="0"/>
              <w:jc w:val="both"/>
              <w:rPr>
                <w:sz w:val="22"/>
                <w:szCs w:val="22"/>
              </w:rPr>
            </w:pPr>
          </w:p>
        </w:tc>
      </w:tr>
      <w:tr w:rsidR="00F279FE" w:rsidRPr="00070213" w:rsidTr="00B35421">
        <w:tc>
          <w:tcPr>
            <w:tcW w:w="2610" w:type="dxa"/>
            <w:vMerge/>
            <w:tcBorders>
              <w:left w:val="single" w:sz="4" w:space="0" w:color="auto"/>
              <w:right w:val="single" w:sz="4" w:space="0" w:color="auto"/>
            </w:tcBorders>
            <w:shd w:val="clear" w:color="auto" w:fill="D0CECE" w:themeFill="background2" w:themeFillShade="E6"/>
          </w:tcPr>
          <w:p w:rsidR="00F279FE" w:rsidRPr="00BC2ED9" w:rsidRDefault="00F279FE" w:rsidP="00AC192C">
            <w:pPr>
              <w:jc w:val="both"/>
              <w:rPr>
                <w:b/>
                <w:sz w:val="22"/>
                <w:szCs w:val="22"/>
                <w:lang w:val="bg-BG"/>
              </w:rPr>
            </w:pPr>
          </w:p>
        </w:tc>
        <w:tc>
          <w:tcPr>
            <w:tcW w:w="6102" w:type="dxa"/>
            <w:tcBorders>
              <w:top w:val="single" w:sz="4" w:space="0" w:color="auto"/>
              <w:left w:val="single" w:sz="4" w:space="0" w:color="auto"/>
              <w:bottom w:val="single" w:sz="4" w:space="0" w:color="auto"/>
              <w:right w:val="single" w:sz="4" w:space="0" w:color="auto"/>
            </w:tcBorders>
          </w:tcPr>
          <w:p w:rsidR="00D049B1" w:rsidRPr="00BC2ED9" w:rsidRDefault="00F279FE" w:rsidP="00AC192C">
            <w:pPr>
              <w:jc w:val="both"/>
              <w:rPr>
                <w:sz w:val="22"/>
                <w:szCs w:val="22"/>
                <w:lang w:val="bg-BG"/>
              </w:rPr>
            </w:pPr>
            <w:r w:rsidRPr="00070213">
              <w:rPr>
                <w:sz w:val="22"/>
                <w:szCs w:val="22"/>
                <w:lang w:val="bg-BG"/>
              </w:rPr>
              <w:t xml:space="preserve">На следващо място и във връзка с горепосоченото, считаме че е удачно срокът в §6 от преходните и заключителните </w:t>
            </w:r>
            <w:r w:rsidRPr="00070213">
              <w:rPr>
                <w:sz w:val="22"/>
                <w:szCs w:val="22"/>
                <w:lang w:val="bg-BG"/>
              </w:rPr>
              <w:lastRenderedPageBreak/>
              <w:t>разпоредби на Наредбата да бъде удължен на поне 18 месеца от влизането й в сила. Основните ни мотив</w:t>
            </w:r>
            <w:r w:rsidR="00835D97" w:rsidRPr="00070213">
              <w:rPr>
                <w:sz w:val="22"/>
                <w:szCs w:val="22"/>
                <w:lang w:val="bg-BG"/>
              </w:rPr>
              <w:t>и</w:t>
            </w:r>
            <w:r w:rsidRPr="00070213">
              <w:rPr>
                <w:sz w:val="22"/>
                <w:szCs w:val="22"/>
                <w:lang w:val="bg-BG"/>
              </w:rPr>
              <w:t xml:space="preserve"> за това предложение са свързани с изключително многот</w:t>
            </w:r>
            <w:r w:rsidR="00835D97" w:rsidRPr="00394C5D">
              <w:rPr>
                <w:sz w:val="22"/>
                <w:szCs w:val="22"/>
                <w:lang w:val="bg-BG"/>
              </w:rPr>
              <w:t>о</w:t>
            </w:r>
            <w:r w:rsidRPr="00394C5D">
              <w:rPr>
                <w:sz w:val="22"/>
                <w:szCs w:val="22"/>
                <w:lang w:val="bg-BG"/>
              </w:rPr>
              <w:t xml:space="preserve"> изисквания, които се въведоха със ЗЕСМФИ и подзаконовите нормативни актове към него, каквато е и обсъжданата Наредба. Изпълнението на всички тези изисквания е свързано с необходимостта на значителен в</w:t>
            </w:r>
            <w:r w:rsidRPr="001455CC">
              <w:rPr>
                <w:sz w:val="22"/>
                <w:szCs w:val="22"/>
                <w:lang w:val="bg-BG"/>
              </w:rPr>
              <w:t>ремеви, технологичен и експертен ресурс и съответното, правилно планиране на всички процеси.</w:t>
            </w:r>
            <w:r w:rsidR="00D049B1" w:rsidRPr="001455CC">
              <w:rPr>
                <w:sz w:val="22"/>
                <w:szCs w:val="22"/>
                <w:lang w:val="bg-BG"/>
              </w:rPr>
              <w:t xml:space="preserve"> </w:t>
            </w:r>
          </w:p>
          <w:p w:rsidR="00F279FE" w:rsidRPr="00BC2ED9" w:rsidRDefault="00D049B1" w:rsidP="00AC192C">
            <w:pPr>
              <w:jc w:val="both"/>
              <w:rPr>
                <w:sz w:val="22"/>
                <w:szCs w:val="22"/>
                <w:lang w:val="bg-BG"/>
              </w:rPr>
            </w:pPr>
            <w:r w:rsidRPr="00070213">
              <w:rPr>
                <w:sz w:val="22"/>
                <w:szCs w:val="22"/>
                <w:lang w:val="bg-BG"/>
              </w:rPr>
              <w:t>В заключение сме на мнение, че промяната в срока по §6 ще осигури необходимата предвидимост и предприятията с изградени електронни съобщителни мрежи ще могат да нормални регулаторни условия да се фокусират и върху основната си корпоративна дейност.</w:t>
            </w:r>
          </w:p>
        </w:tc>
        <w:tc>
          <w:tcPr>
            <w:tcW w:w="1543" w:type="dxa"/>
            <w:tcBorders>
              <w:top w:val="single" w:sz="4" w:space="0" w:color="auto"/>
              <w:left w:val="single" w:sz="4" w:space="0" w:color="auto"/>
              <w:bottom w:val="single" w:sz="4" w:space="0" w:color="auto"/>
              <w:right w:val="single" w:sz="4" w:space="0" w:color="auto"/>
            </w:tcBorders>
          </w:tcPr>
          <w:p w:rsidR="00F279FE" w:rsidRPr="00BC2ED9" w:rsidRDefault="00592EA4" w:rsidP="004C307F">
            <w:pPr>
              <w:ind w:right="-103"/>
              <w:jc w:val="center"/>
              <w:rPr>
                <w:sz w:val="22"/>
                <w:szCs w:val="22"/>
                <w:lang w:val="bg-BG"/>
              </w:rPr>
            </w:pPr>
            <w:r w:rsidRPr="00070213">
              <w:rPr>
                <w:sz w:val="22"/>
                <w:szCs w:val="22"/>
                <w:lang w:val="bg-BG"/>
              </w:rPr>
              <w:lastRenderedPageBreak/>
              <w:t>Приема се</w:t>
            </w:r>
          </w:p>
        </w:tc>
        <w:tc>
          <w:tcPr>
            <w:tcW w:w="4380" w:type="dxa"/>
            <w:tcBorders>
              <w:top w:val="single" w:sz="4" w:space="0" w:color="auto"/>
              <w:left w:val="single" w:sz="4" w:space="0" w:color="auto"/>
              <w:bottom w:val="single" w:sz="4" w:space="0" w:color="auto"/>
              <w:right w:val="single" w:sz="4" w:space="0" w:color="auto"/>
            </w:tcBorders>
          </w:tcPr>
          <w:p w:rsidR="00F279FE" w:rsidRPr="00BC2ED9" w:rsidRDefault="00592EA4" w:rsidP="00AC192C">
            <w:pPr>
              <w:pStyle w:val="NormalWeb"/>
              <w:spacing w:before="0" w:beforeAutospacing="0" w:after="0" w:afterAutospacing="0"/>
              <w:jc w:val="both"/>
              <w:rPr>
                <w:sz w:val="22"/>
                <w:szCs w:val="22"/>
              </w:rPr>
            </w:pPr>
            <w:r w:rsidRPr="00070213">
              <w:rPr>
                <w:sz w:val="22"/>
                <w:szCs w:val="22"/>
              </w:rPr>
              <w:t>Срокът е променен на 2 години.</w:t>
            </w:r>
          </w:p>
        </w:tc>
      </w:tr>
    </w:tbl>
    <w:p w:rsidR="00B660F1" w:rsidRPr="00070213" w:rsidRDefault="00B660F1" w:rsidP="00AC192C">
      <w:pPr>
        <w:jc w:val="both"/>
        <w:rPr>
          <w:sz w:val="22"/>
          <w:szCs w:val="22"/>
          <w:lang w:val="bg-BG"/>
        </w:rPr>
      </w:pPr>
    </w:p>
    <w:sectPr w:rsidR="00B660F1" w:rsidRPr="00070213" w:rsidSect="00020280">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67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67F" w:rsidRDefault="0076367F" w:rsidP="006C040F">
      <w:r>
        <w:separator/>
      </w:r>
    </w:p>
  </w:endnote>
  <w:endnote w:type="continuationSeparator" w:id="0">
    <w:p w:rsidR="0076367F" w:rsidRDefault="0076367F" w:rsidP="006C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Gotham">
    <w:altName w:val="Aria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ED9" w:rsidRDefault="00BC2E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626600"/>
      <w:docPartObj>
        <w:docPartGallery w:val="Page Numbers (Bottom of Page)"/>
        <w:docPartUnique/>
      </w:docPartObj>
    </w:sdtPr>
    <w:sdtEndPr>
      <w:rPr>
        <w:noProof/>
      </w:rPr>
    </w:sdtEndPr>
    <w:sdtContent>
      <w:p w:rsidR="00392676" w:rsidRDefault="00392676">
        <w:pPr>
          <w:pStyle w:val="Footer"/>
          <w:jc w:val="center"/>
        </w:pPr>
        <w:r>
          <w:fldChar w:fldCharType="begin"/>
        </w:r>
        <w:r>
          <w:instrText xml:space="preserve"> PAGE   \* MERGEFORMAT </w:instrText>
        </w:r>
        <w:r>
          <w:fldChar w:fldCharType="separate"/>
        </w:r>
        <w:r w:rsidR="008E12D1">
          <w:rPr>
            <w:noProof/>
          </w:rPr>
          <w:t>2</w:t>
        </w:r>
        <w:r>
          <w:rPr>
            <w:noProof/>
          </w:rPr>
          <w:fldChar w:fldCharType="end"/>
        </w:r>
      </w:p>
    </w:sdtContent>
  </w:sdt>
  <w:p w:rsidR="00392676" w:rsidRDefault="003926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ED9" w:rsidRDefault="00BC2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67F" w:rsidRDefault="0076367F" w:rsidP="006C040F">
      <w:r>
        <w:separator/>
      </w:r>
    </w:p>
  </w:footnote>
  <w:footnote w:type="continuationSeparator" w:id="0">
    <w:p w:rsidR="0076367F" w:rsidRDefault="0076367F" w:rsidP="006C0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ED9" w:rsidRDefault="00BC2E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ED9" w:rsidRDefault="00BC2E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ED9" w:rsidRDefault="00BC2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DE0"/>
    <w:multiLevelType w:val="multilevel"/>
    <w:tmpl w:val="425415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2D15E2"/>
    <w:multiLevelType w:val="multilevel"/>
    <w:tmpl w:val="839C6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B40484"/>
    <w:multiLevelType w:val="hybridMultilevel"/>
    <w:tmpl w:val="5262D5EA"/>
    <w:lvl w:ilvl="0" w:tplc="E2BABB34">
      <w:start w:val="1"/>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184061E"/>
    <w:multiLevelType w:val="multilevel"/>
    <w:tmpl w:val="4DC63860"/>
    <w:lvl w:ilvl="0">
      <w:start w:val="1"/>
      <w:numFmt w:val="decimal"/>
      <w:lvlText w:val="%1."/>
      <w:lvlJc w:val="left"/>
      <w:pPr>
        <w:ind w:left="1069" w:hanging="360"/>
      </w:pPr>
      <w:rPr>
        <w:rFonts w:ascii="Times New Roman" w:hAnsi="Times New Roman" w:cs="Times New Roman" w:hint="default"/>
        <w:b/>
        <w:i w:val="0"/>
        <w:sz w:val="24"/>
        <w:szCs w:val="24"/>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25B67E13"/>
    <w:multiLevelType w:val="multilevel"/>
    <w:tmpl w:val="D56C24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2C22D3"/>
    <w:multiLevelType w:val="multilevel"/>
    <w:tmpl w:val="5B08CD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AB4435"/>
    <w:multiLevelType w:val="hybridMultilevel"/>
    <w:tmpl w:val="0AEE8EAE"/>
    <w:lvl w:ilvl="0" w:tplc="27AE862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15:restartNumberingAfterBreak="0">
    <w:nsid w:val="35437DD3"/>
    <w:multiLevelType w:val="multilevel"/>
    <w:tmpl w:val="CCE29568"/>
    <w:lvl w:ilvl="0">
      <w:start w:val="1"/>
      <w:numFmt w:val="decimal"/>
      <w:lvlText w:val="%1."/>
      <w:lvlJc w:val="left"/>
      <w:rPr>
        <w:rFonts w:ascii="Verdana" w:eastAsia="Verdana" w:hAnsi="Verdana" w:cs="Verdana"/>
        <w:b w:val="0"/>
        <w:bCs w:val="0"/>
        <w:i/>
        <w:iCs/>
        <w:smallCaps w:val="0"/>
        <w:strike w:val="0"/>
        <w:color w:val="000000"/>
        <w:spacing w:val="0"/>
        <w:w w:val="100"/>
        <w:position w:val="0"/>
        <w:sz w:val="17"/>
        <w:szCs w:val="17"/>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FE2804"/>
    <w:multiLevelType w:val="multilevel"/>
    <w:tmpl w:val="C8AA94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63210C"/>
    <w:multiLevelType w:val="hybridMultilevel"/>
    <w:tmpl w:val="63449BCC"/>
    <w:lvl w:ilvl="0" w:tplc="E900279E">
      <w:start w:val="1"/>
      <w:numFmt w:val="bullet"/>
      <w:lvlText w:val="-"/>
      <w:lvlJc w:val="left"/>
      <w:pPr>
        <w:ind w:left="1080" w:hanging="360"/>
      </w:pPr>
      <w:rPr>
        <w:rFonts w:ascii="Bookman Old Style" w:eastAsia="Calibri" w:hAnsi="Bookman Old Style"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15:restartNumberingAfterBreak="0">
    <w:nsid w:val="42CC49AA"/>
    <w:multiLevelType w:val="hybridMultilevel"/>
    <w:tmpl w:val="1460EC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8DC5E0B"/>
    <w:multiLevelType w:val="multilevel"/>
    <w:tmpl w:val="099E51C2"/>
    <w:lvl w:ilvl="0">
      <w:start w:val="1"/>
      <w:numFmt w:val="bullet"/>
      <w:lvlText w:val="-"/>
      <w:lvlJc w:val="left"/>
      <w:rPr>
        <w:rFonts w:ascii="Verdana" w:eastAsia="Verdana" w:hAnsi="Verdana" w:cs="Verdana"/>
        <w:b/>
        <w:bCs/>
        <w:i w:val="0"/>
        <w:iCs w:val="0"/>
        <w:smallCaps w:val="0"/>
        <w:strike w:val="0"/>
        <w:color w:val="000000"/>
        <w:spacing w:val="0"/>
        <w:w w:val="100"/>
        <w:position w:val="0"/>
        <w:sz w:val="17"/>
        <w:szCs w:val="17"/>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641E37"/>
    <w:multiLevelType w:val="hybridMultilevel"/>
    <w:tmpl w:val="D268A066"/>
    <w:lvl w:ilvl="0" w:tplc="333E3F7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15:restartNumberingAfterBreak="0">
    <w:nsid w:val="4F844C41"/>
    <w:multiLevelType w:val="multilevel"/>
    <w:tmpl w:val="1E365DE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B20FC5"/>
    <w:multiLevelType w:val="multilevel"/>
    <w:tmpl w:val="A4084F4C"/>
    <w:lvl w:ilvl="0">
      <w:start w:val="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1B2475"/>
    <w:multiLevelType w:val="multilevel"/>
    <w:tmpl w:val="A48AB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CC588C"/>
    <w:multiLevelType w:val="multilevel"/>
    <w:tmpl w:val="839C6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DC6496"/>
    <w:multiLevelType w:val="hybridMultilevel"/>
    <w:tmpl w:val="C70A70D0"/>
    <w:lvl w:ilvl="0" w:tplc="B2DC506C">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6776700D"/>
    <w:multiLevelType w:val="multilevel"/>
    <w:tmpl w:val="EB34E50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959533A"/>
    <w:multiLevelType w:val="multilevel"/>
    <w:tmpl w:val="26FE6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304B3C"/>
    <w:multiLevelType w:val="multilevel"/>
    <w:tmpl w:val="21AAC94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283359"/>
    <w:multiLevelType w:val="multilevel"/>
    <w:tmpl w:val="3F68FD98"/>
    <w:lvl w:ilvl="0">
      <w:start w:val="2"/>
      <w:numFmt w:val="decimal"/>
      <w:lvlText w:val="%1."/>
      <w:lvlJc w:val="left"/>
      <w:rPr>
        <w:rFonts w:ascii="Verdana" w:eastAsia="Verdana" w:hAnsi="Verdana" w:cs="Verdana"/>
        <w:b w:val="0"/>
        <w:bCs w:val="0"/>
        <w:i/>
        <w:iCs/>
        <w:smallCaps w:val="0"/>
        <w:strike w:val="0"/>
        <w:color w:val="000000"/>
        <w:spacing w:val="0"/>
        <w:w w:val="100"/>
        <w:position w:val="0"/>
        <w:sz w:val="17"/>
        <w:szCs w:val="17"/>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C3421A"/>
    <w:multiLevelType w:val="multilevel"/>
    <w:tmpl w:val="5D40EEE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4"/>
  </w:num>
  <w:num w:numId="3">
    <w:abstractNumId w:val="15"/>
  </w:num>
  <w:num w:numId="4">
    <w:abstractNumId w:val="12"/>
  </w:num>
  <w:num w:numId="5">
    <w:abstractNumId w:val="18"/>
  </w:num>
  <w:num w:numId="6">
    <w:abstractNumId w:val="0"/>
  </w:num>
  <w:num w:numId="7">
    <w:abstractNumId w:val="9"/>
  </w:num>
  <w:num w:numId="8">
    <w:abstractNumId w:val="6"/>
  </w:num>
  <w:num w:numId="9">
    <w:abstractNumId w:val="11"/>
  </w:num>
  <w:num w:numId="10">
    <w:abstractNumId w:val="8"/>
  </w:num>
  <w:num w:numId="11">
    <w:abstractNumId w:val="21"/>
  </w:num>
  <w:num w:numId="12">
    <w:abstractNumId w:val="7"/>
  </w:num>
  <w:num w:numId="13">
    <w:abstractNumId w:val="20"/>
  </w:num>
  <w:num w:numId="14">
    <w:abstractNumId w:val="17"/>
  </w:num>
  <w:num w:numId="15">
    <w:abstractNumId w:val="4"/>
  </w:num>
  <w:num w:numId="16">
    <w:abstractNumId w:val="10"/>
  </w:num>
  <w:num w:numId="17">
    <w:abstractNumId w:val="5"/>
  </w:num>
  <w:num w:numId="18">
    <w:abstractNumId w:val="16"/>
  </w:num>
  <w:num w:numId="19">
    <w:abstractNumId w:val="13"/>
  </w:num>
  <w:num w:numId="20">
    <w:abstractNumId w:val="1"/>
  </w:num>
  <w:num w:numId="21">
    <w:abstractNumId w:val="19"/>
  </w:num>
  <w:num w:numId="22">
    <w:abstractNumId w:val="2"/>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95"/>
    <w:rsid w:val="00000619"/>
    <w:rsid w:val="00000676"/>
    <w:rsid w:val="0000269A"/>
    <w:rsid w:val="00002E05"/>
    <w:rsid w:val="000032D3"/>
    <w:rsid w:val="00003667"/>
    <w:rsid w:val="0000479A"/>
    <w:rsid w:val="00005530"/>
    <w:rsid w:val="00007BCD"/>
    <w:rsid w:val="00011F51"/>
    <w:rsid w:val="00015320"/>
    <w:rsid w:val="00016DB6"/>
    <w:rsid w:val="00020280"/>
    <w:rsid w:val="000212BF"/>
    <w:rsid w:val="00021F78"/>
    <w:rsid w:val="0002292A"/>
    <w:rsid w:val="00022A44"/>
    <w:rsid w:val="000251A1"/>
    <w:rsid w:val="00025429"/>
    <w:rsid w:val="00027744"/>
    <w:rsid w:val="000310D2"/>
    <w:rsid w:val="00034EC3"/>
    <w:rsid w:val="00040A4D"/>
    <w:rsid w:val="00040AD5"/>
    <w:rsid w:val="00040FA8"/>
    <w:rsid w:val="00041435"/>
    <w:rsid w:val="000416D2"/>
    <w:rsid w:val="0004282D"/>
    <w:rsid w:val="00043321"/>
    <w:rsid w:val="0004541F"/>
    <w:rsid w:val="00045A1E"/>
    <w:rsid w:val="00046E5A"/>
    <w:rsid w:val="000474BF"/>
    <w:rsid w:val="00047E05"/>
    <w:rsid w:val="0005293E"/>
    <w:rsid w:val="000544F5"/>
    <w:rsid w:val="00054EFC"/>
    <w:rsid w:val="00055484"/>
    <w:rsid w:val="00056507"/>
    <w:rsid w:val="000576B9"/>
    <w:rsid w:val="0006004C"/>
    <w:rsid w:val="00060889"/>
    <w:rsid w:val="00062AD6"/>
    <w:rsid w:val="00064CEF"/>
    <w:rsid w:val="00065E96"/>
    <w:rsid w:val="00070213"/>
    <w:rsid w:val="000730A7"/>
    <w:rsid w:val="00074162"/>
    <w:rsid w:val="00074403"/>
    <w:rsid w:val="000747A4"/>
    <w:rsid w:val="00075250"/>
    <w:rsid w:val="000833AC"/>
    <w:rsid w:val="00085459"/>
    <w:rsid w:val="00087106"/>
    <w:rsid w:val="000908A9"/>
    <w:rsid w:val="0009163C"/>
    <w:rsid w:val="00091856"/>
    <w:rsid w:val="00092068"/>
    <w:rsid w:val="000921A7"/>
    <w:rsid w:val="000923AD"/>
    <w:rsid w:val="000927AB"/>
    <w:rsid w:val="00093480"/>
    <w:rsid w:val="00095EA5"/>
    <w:rsid w:val="0009772E"/>
    <w:rsid w:val="00097980"/>
    <w:rsid w:val="000A1630"/>
    <w:rsid w:val="000A1F3A"/>
    <w:rsid w:val="000A3AF4"/>
    <w:rsid w:val="000A3E3F"/>
    <w:rsid w:val="000A4E27"/>
    <w:rsid w:val="000B0607"/>
    <w:rsid w:val="000C225E"/>
    <w:rsid w:val="000C2CAC"/>
    <w:rsid w:val="000C2CD1"/>
    <w:rsid w:val="000C54E1"/>
    <w:rsid w:val="000C72FA"/>
    <w:rsid w:val="000D05E9"/>
    <w:rsid w:val="000D199A"/>
    <w:rsid w:val="000D2775"/>
    <w:rsid w:val="000D5A36"/>
    <w:rsid w:val="000D6F98"/>
    <w:rsid w:val="000D75EF"/>
    <w:rsid w:val="000D7B2B"/>
    <w:rsid w:val="000D7E8D"/>
    <w:rsid w:val="000E031D"/>
    <w:rsid w:val="000E0E3C"/>
    <w:rsid w:val="000E243C"/>
    <w:rsid w:val="000E2547"/>
    <w:rsid w:val="000E2832"/>
    <w:rsid w:val="000F1C0F"/>
    <w:rsid w:val="000F61FE"/>
    <w:rsid w:val="000F78FC"/>
    <w:rsid w:val="000F7BE2"/>
    <w:rsid w:val="0010090B"/>
    <w:rsid w:val="00101A3C"/>
    <w:rsid w:val="00104540"/>
    <w:rsid w:val="00104560"/>
    <w:rsid w:val="00112500"/>
    <w:rsid w:val="0012297E"/>
    <w:rsid w:val="00123CF0"/>
    <w:rsid w:val="001248F9"/>
    <w:rsid w:val="001277FE"/>
    <w:rsid w:val="00132936"/>
    <w:rsid w:val="00134087"/>
    <w:rsid w:val="001347EA"/>
    <w:rsid w:val="0013521C"/>
    <w:rsid w:val="00136386"/>
    <w:rsid w:val="0013755F"/>
    <w:rsid w:val="00140E84"/>
    <w:rsid w:val="00144B84"/>
    <w:rsid w:val="001455CC"/>
    <w:rsid w:val="00145DC2"/>
    <w:rsid w:val="00145F0D"/>
    <w:rsid w:val="00146948"/>
    <w:rsid w:val="00147711"/>
    <w:rsid w:val="00147B8A"/>
    <w:rsid w:val="00152289"/>
    <w:rsid w:val="00153C83"/>
    <w:rsid w:val="00154565"/>
    <w:rsid w:val="00155801"/>
    <w:rsid w:val="00161D9F"/>
    <w:rsid w:val="00161DEA"/>
    <w:rsid w:val="0016625A"/>
    <w:rsid w:val="001668D9"/>
    <w:rsid w:val="0017013A"/>
    <w:rsid w:val="0017135E"/>
    <w:rsid w:val="00172123"/>
    <w:rsid w:val="00174473"/>
    <w:rsid w:val="00175F52"/>
    <w:rsid w:val="00177145"/>
    <w:rsid w:val="001838ED"/>
    <w:rsid w:val="001849B8"/>
    <w:rsid w:val="00184B48"/>
    <w:rsid w:val="00186791"/>
    <w:rsid w:val="0019056F"/>
    <w:rsid w:val="001956F6"/>
    <w:rsid w:val="001962D0"/>
    <w:rsid w:val="00196499"/>
    <w:rsid w:val="00197257"/>
    <w:rsid w:val="001A0A63"/>
    <w:rsid w:val="001A1564"/>
    <w:rsid w:val="001A55B9"/>
    <w:rsid w:val="001A717F"/>
    <w:rsid w:val="001B0649"/>
    <w:rsid w:val="001B0A47"/>
    <w:rsid w:val="001B128E"/>
    <w:rsid w:val="001B2E7D"/>
    <w:rsid w:val="001B6FC9"/>
    <w:rsid w:val="001B7A02"/>
    <w:rsid w:val="001B7D70"/>
    <w:rsid w:val="001C01BB"/>
    <w:rsid w:val="001C1631"/>
    <w:rsid w:val="001C4A43"/>
    <w:rsid w:val="001C636C"/>
    <w:rsid w:val="001C6A08"/>
    <w:rsid w:val="001D053D"/>
    <w:rsid w:val="001D3028"/>
    <w:rsid w:val="001D3651"/>
    <w:rsid w:val="001D3765"/>
    <w:rsid w:val="001D50EB"/>
    <w:rsid w:val="001D6349"/>
    <w:rsid w:val="001E01A8"/>
    <w:rsid w:val="001E2D51"/>
    <w:rsid w:val="001E304C"/>
    <w:rsid w:val="001E5243"/>
    <w:rsid w:val="001E6E84"/>
    <w:rsid w:val="001F114F"/>
    <w:rsid w:val="001F2504"/>
    <w:rsid w:val="001F5C94"/>
    <w:rsid w:val="001F5FBE"/>
    <w:rsid w:val="001F69C5"/>
    <w:rsid w:val="001F7596"/>
    <w:rsid w:val="002014AB"/>
    <w:rsid w:val="00204BD0"/>
    <w:rsid w:val="002076E1"/>
    <w:rsid w:val="00210B80"/>
    <w:rsid w:val="00210D09"/>
    <w:rsid w:val="00212DF7"/>
    <w:rsid w:val="00214A38"/>
    <w:rsid w:val="00214A63"/>
    <w:rsid w:val="00215CBB"/>
    <w:rsid w:val="002169BC"/>
    <w:rsid w:val="00217463"/>
    <w:rsid w:val="002178A9"/>
    <w:rsid w:val="00217DE7"/>
    <w:rsid w:val="00220DFC"/>
    <w:rsid w:val="002237CA"/>
    <w:rsid w:val="002331A2"/>
    <w:rsid w:val="002339BC"/>
    <w:rsid w:val="00234A7A"/>
    <w:rsid w:val="00236C88"/>
    <w:rsid w:val="00236CCF"/>
    <w:rsid w:val="00244704"/>
    <w:rsid w:val="00244BB0"/>
    <w:rsid w:val="002460A0"/>
    <w:rsid w:val="00247258"/>
    <w:rsid w:val="00247ED8"/>
    <w:rsid w:val="00250D4A"/>
    <w:rsid w:val="002540FB"/>
    <w:rsid w:val="00257ED1"/>
    <w:rsid w:val="00266068"/>
    <w:rsid w:val="002669E7"/>
    <w:rsid w:val="00266ED5"/>
    <w:rsid w:val="00274198"/>
    <w:rsid w:val="00274562"/>
    <w:rsid w:val="00277D35"/>
    <w:rsid w:val="00282293"/>
    <w:rsid w:val="00284973"/>
    <w:rsid w:val="00285913"/>
    <w:rsid w:val="002861EE"/>
    <w:rsid w:val="00296F0B"/>
    <w:rsid w:val="002A0F72"/>
    <w:rsid w:val="002A20A9"/>
    <w:rsid w:val="002A2BE0"/>
    <w:rsid w:val="002A36C9"/>
    <w:rsid w:val="002A3CDA"/>
    <w:rsid w:val="002B1133"/>
    <w:rsid w:val="002B3966"/>
    <w:rsid w:val="002B5CDD"/>
    <w:rsid w:val="002B6DAD"/>
    <w:rsid w:val="002B7C7B"/>
    <w:rsid w:val="002C052C"/>
    <w:rsid w:val="002C1C4D"/>
    <w:rsid w:val="002C361D"/>
    <w:rsid w:val="002C7DF6"/>
    <w:rsid w:val="002D0658"/>
    <w:rsid w:val="002D3C6C"/>
    <w:rsid w:val="002D4AEC"/>
    <w:rsid w:val="002D4CBC"/>
    <w:rsid w:val="002D5106"/>
    <w:rsid w:val="002D6A22"/>
    <w:rsid w:val="002E0757"/>
    <w:rsid w:val="002E2520"/>
    <w:rsid w:val="002E3601"/>
    <w:rsid w:val="002E3E21"/>
    <w:rsid w:val="002E5AFC"/>
    <w:rsid w:val="002F0220"/>
    <w:rsid w:val="002F3DA0"/>
    <w:rsid w:val="002F4537"/>
    <w:rsid w:val="002F4E6D"/>
    <w:rsid w:val="002F59DE"/>
    <w:rsid w:val="002F7E74"/>
    <w:rsid w:val="00300729"/>
    <w:rsid w:val="003018D2"/>
    <w:rsid w:val="00301D96"/>
    <w:rsid w:val="00302FB7"/>
    <w:rsid w:val="00304E24"/>
    <w:rsid w:val="00304EEA"/>
    <w:rsid w:val="00305327"/>
    <w:rsid w:val="00314003"/>
    <w:rsid w:val="00314E18"/>
    <w:rsid w:val="0031674E"/>
    <w:rsid w:val="00316B77"/>
    <w:rsid w:val="00320342"/>
    <w:rsid w:val="003217BC"/>
    <w:rsid w:val="00322943"/>
    <w:rsid w:val="00325E67"/>
    <w:rsid w:val="00326A4D"/>
    <w:rsid w:val="00326E05"/>
    <w:rsid w:val="00333F24"/>
    <w:rsid w:val="00334DBC"/>
    <w:rsid w:val="00340AC1"/>
    <w:rsid w:val="0034126A"/>
    <w:rsid w:val="003415D5"/>
    <w:rsid w:val="00345022"/>
    <w:rsid w:val="003458F5"/>
    <w:rsid w:val="003462BC"/>
    <w:rsid w:val="0034694C"/>
    <w:rsid w:val="00350FA3"/>
    <w:rsid w:val="00351329"/>
    <w:rsid w:val="003550AF"/>
    <w:rsid w:val="00356986"/>
    <w:rsid w:val="00361142"/>
    <w:rsid w:val="003655A7"/>
    <w:rsid w:val="00366B62"/>
    <w:rsid w:val="0036795D"/>
    <w:rsid w:val="00371566"/>
    <w:rsid w:val="003716FD"/>
    <w:rsid w:val="003725B4"/>
    <w:rsid w:val="003741A9"/>
    <w:rsid w:val="00375A74"/>
    <w:rsid w:val="00375D04"/>
    <w:rsid w:val="00376860"/>
    <w:rsid w:val="00377019"/>
    <w:rsid w:val="00377189"/>
    <w:rsid w:val="003808CC"/>
    <w:rsid w:val="0038190F"/>
    <w:rsid w:val="0038392F"/>
    <w:rsid w:val="003841FD"/>
    <w:rsid w:val="00386489"/>
    <w:rsid w:val="0038669B"/>
    <w:rsid w:val="00387356"/>
    <w:rsid w:val="00387EF4"/>
    <w:rsid w:val="0039021B"/>
    <w:rsid w:val="00392676"/>
    <w:rsid w:val="00393CC1"/>
    <w:rsid w:val="00394C5D"/>
    <w:rsid w:val="003974F4"/>
    <w:rsid w:val="003A4B8A"/>
    <w:rsid w:val="003A6B53"/>
    <w:rsid w:val="003A7F5C"/>
    <w:rsid w:val="003B063A"/>
    <w:rsid w:val="003B1C06"/>
    <w:rsid w:val="003B2952"/>
    <w:rsid w:val="003B5665"/>
    <w:rsid w:val="003D3024"/>
    <w:rsid w:val="003D3085"/>
    <w:rsid w:val="003D37F0"/>
    <w:rsid w:val="003D4882"/>
    <w:rsid w:val="003D488D"/>
    <w:rsid w:val="003E1DE0"/>
    <w:rsid w:val="003E31FF"/>
    <w:rsid w:val="003E5620"/>
    <w:rsid w:val="003E66EE"/>
    <w:rsid w:val="003F005C"/>
    <w:rsid w:val="003F0975"/>
    <w:rsid w:val="003F0DDB"/>
    <w:rsid w:val="003F1B47"/>
    <w:rsid w:val="003F3A71"/>
    <w:rsid w:val="003F420F"/>
    <w:rsid w:val="003F666C"/>
    <w:rsid w:val="0040377E"/>
    <w:rsid w:val="00403E1F"/>
    <w:rsid w:val="00410798"/>
    <w:rsid w:val="00414551"/>
    <w:rsid w:val="00414F7A"/>
    <w:rsid w:val="004221B9"/>
    <w:rsid w:val="00423D72"/>
    <w:rsid w:val="00424249"/>
    <w:rsid w:val="00424EC4"/>
    <w:rsid w:val="00426B50"/>
    <w:rsid w:val="00432816"/>
    <w:rsid w:val="004339F7"/>
    <w:rsid w:val="00434FD2"/>
    <w:rsid w:val="004363DD"/>
    <w:rsid w:val="00441DC9"/>
    <w:rsid w:val="00442D25"/>
    <w:rsid w:val="004447CD"/>
    <w:rsid w:val="004473F3"/>
    <w:rsid w:val="00450745"/>
    <w:rsid w:val="00451158"/>
    <w:rsid w:val="00452FA1"/>
    <w:rsid w:val="004555CB"/>
    <w:rsid w:val="004559C3"/>
    <w:rsid w:val="00455D1A"/>
    <w:rsid w:val="004560F7"/>
    <w:rsid w:val="00456D12"/>
    <w:rsid w:val="0045722C"/>
    <w:rsid w:val="00462147"/>
    <w:rsid w:val="004636B7"/>
    <w:rsid w:val="00465546"/>
    <w:rsid w:val="004667E6"/>
    <w:rsid w:val="004744EC"/>
    <w:rsid w:val="004768DE"/>
    <w:rsid w:val="00480837"/>
    <w:rsid w:val="004819F9"/>
    <w:rsid w:val="00481A5A"/>
    <w:rsid w:val="00482887"/>
    <w:rsid w:val="00482A31"/>
    <w:rsid w:val="00483078"/>
    <w:rsid w:val="0048314B"/>
    <w:rsid w:val="004841CB"/>
    <w:rsid w:val="004903BB"/>
    <w:rsid w:val="0049167D"/>
    <w:rsid w:val="0049517F"/>
    <w:rsid w:val="004957DF"/>
    <w:rsid w:val="0049618B"/>
    <w:rsid w:val="004A2668"/>
    <w:rsid w:val="004A3662"/>
    <w:rsid w:val="004A5165"/>
    <w:rsid w:val="004A5C21"/>
    <w:rsid w:val="004A6352"/>
    <w:rsid w:val="004A6686"/>
    <w:rsid w:val="004A6F5A"/>
    <w:rsid w:val="004B1FBF"/>
    <w:rsid w:val="004B42E6"/>
    <w:rsid w:val="004B58F1"/>
    <w:rsid w:val="004B619A"/>
    <w:rsid w:val="004B6F9E"/>
    <w:rsid w:val="004C053B"/>
    <w:rsid w:val="004C0861"/>
    <w:rsid w:val="004C2BC9"/>
    <w:rsid w:val="004C307F"/>
    <w:rsid w:val="004C5150"/>
    <w:rsid w:val="004D43B2"/>
    <w:rsid w:val="004D45CD"/>
    <w:rsid w:val="004D6B42"/>
    <w:rsid w:val="004D7471"/>
    <w:rsid w:val="004D7A3D"/>
    <w:rsid w:val="004E792C"/>
    <w:rsid w:val="004F0ADA"/>
    <w:rsid w:val="004F28D5"/>
    <w:rsid w:val="004F3AC2"/>
    <w:rsid w:val="004F65CF"/>
    <w:rsid w:val="004F74F4"/>
    <w:rsid w:val="00502B12"/>
    <w:rsid w:val="00502B57"/>
    <w:rsid w:val="005041C6"/>
    <w:rsid w:val="005056C2"/>
    <w:rsid w:val="00513D1D"/>
    <w:rsid w:val="005142C9"/>
    <w:rsid w:val="00516F53"/>
    <w:rsid w:val="00517E15"/>
    <w:rsid w:val="005202A8"/>
    <w:rsid w:val="00520DAB"/>
    <w:rsid w:val="00521038"/>
    <w:rsid w:val="0052272F"/>
    <w:rsid w:val="00523854"/>
    <w:rsid w:val="00527C1E"/>
    <w:rsid w:val="00530123"/>
    <w:rsid w:val="00531F4F"/>
    <w:rsid w:val="0053227E"/>
    <w:rsid w:val="00533101"/>
    <w:rsid w:val="00533EC5"/>
    <w:rsid w:val="005356F1"/>
    <w:rsid w:val="00536597"/>
    <w:rsid w:val="0054424D"/>
    <w:rsid w:val="005455AA"/>
    <w:rsid w:val="0054674A"/>
    <w:rsid w:val="00546FFA"/>
    <w:rsid w:val="005477F2"/>
    <w:rsid w:val="00550E9A"/>
    <w:rsid w:val="005515FF"/>
    <w:rsid w:val="00562BEB"/>
    <w:rsid w:val="00563E4B"/>
    <w:rsid w:val="005645DC"/>
    <w:rsid w:val="0056483D"/>
    <w:rsid w:val="00565770"/>
    <w:rsid w:val="00565A4C"/>
    <w:rsid w:val="00567A9D"/>
    <w:rsid w:val="005719BF"/>
    <w:rsid w:val="0057249D"/>
    <w:rsid w:val="0057283F"/>
    <w:rsid w:val="0057586A"/>
    <w:rsid w:val="00584D63"/>
    <w:rsid w:val="00585494"/>
    <w:rsid w:val="00586936"/>
    <w:rsid w:val="00587574"/>
    <w:rsid w:val="00587B5A"/>
    <w:rsid w:val="0059139C"/>
    <w:rsid w:val="00592EA4"/>
    <w:rsid w:val="00592FFF"/>
    <w:rsid w:val="00593E0C"/>
    <w:rsid w:val="00595D86"/>
    <w:rsid w:val="005966E7"/>
    <w:rsid w:val="005969B1"/>
    <w:rsid w:val="005A3552"/>
    <w:rsid w:val="005A5F32"/>
    <w:rsid w:val="005B06F3"/>
    <w:rsid w:val="005B37D1"/>
    <w:rsid w:val="005B5F85"/>
    <w:rsid w:val="005B6986"/>
    <w:rsid w:val="005B6BA2"/>
    <w:rsid w:val="005B7976"/>
    <w:rsid w:val="005C013D"/>
    <w:rsid w:val="005C3F9D"/>
    <w:rsid w:val="005C4BC5"/>
    <w:rsid w:val="005C4BFB"/>
    <w:rsid w:val="005C5E70"/>
    <w:rsid w:val="005C6AEE"/>
    <w:rsid w:val="005D1AF5"/>
    <w:rsid w:val="005D3815"/>
    <w:rsid w:val="005D6A6E"/>
    <w:rsid w:val="005D7B59"/>
    <w:rsid w:val="005E1CE8"/>
    <w:rsid w:val="005E2A73"/>
    <w:rsid w:val="005E31EC"/>
    <w:rsid w:val="005E4E86"/>
    <w:rsid w:val="005E4EB1"/>
    <w:rsid w:val="005E5218"/>
    <w:rsid w:val="005E5426"/>
    <w:rsid w:val="005E608A"/>
    <w:rsid w:val="005E6171"/>
    <w:rsid w:val="005F0A16"/>
    <w:rsid w:val="005F0DA2"/>
    <w:rsid w:val="005F1C4A"/>
    <w:rsid w:val="005F402B"/>
    <w:rsid w:val="005F53DC"/>
    <w:rsid w:val="005F7BFD"/>
    <w:rsid w:val="005F7EE7"/>
    <w:rsid w:val="0060373E"/>
    <w:rsid w:val="0060504F"/>
    <w:rsid w:val="00605E68"/>
    <w:rsid w:val="006154C2"/>
    <w:rsid w:val="00615941"/>
    <w:rsid w:val="00615AC2"/>
    <w:rsid w:val="00617A27"/>
    <w:rsid w:val="00624CBE"/>
    <w:rsid w:val="00625885"/>
    <w:rsid w:val="00625A30"/>
    <w:rsid w:val="00626330"/>
    <w:rsid w:val="00626900"/>
    <w:rsid w:val="00626B12"/>
    <w:rsid w:val="0062705E"/>
    <w:rsid w:val="00627BBC"/>
    <w:rsid w:val="00630CDD"/>
    <w:rsid w:val="00632BF8"/>
    <w:rsid w:val="00636714"/>
    <w:rsid w:val="006379FD"/>
    <w:rsid w:val="00637CA2"/>
    <w:rsid w:val="00640314"/>
    <w:rsid w:val="006411AD"/>
    <w:rsid w:val="00641F4F"/>
    <w:rsid w:val="006464E3"/>
    <w:rsid w:val="00647DAC"/>
    <w:rsid w:val="00650497"/>
    <w:rsid w:val="00653535"/>
    <w:rsid w:val="0065421B"/>
    <w:rsid w:val="006542A3"/>
    <w:rsid w:val="00657C5D"/>
    <w:rsid w:val="006607DE"/>
    <w:rsid w:val="00663107"/>
    <w:rsid w:val="00664087"/>
    <w:rsid w:val="0067457A"/>
    <w:rsid w:val="006758A2"/>
    <w:rsid w:val="006779DF"/>
    <w:rsid w:val="00680A6E"/>
    <w:rsid w:val="00682641"/>
    <w:rsid w:val="00682F46"/>
    <w:rsid w:val="00683BC5"/>
    <w:rsid w:val="00686541"/>
    <w:rsid w:val="006874AA"/>
    <w:rsid w:val="00690669"/>
    <w:rsid w:val="00690D94"/>
    <w:rsid w:val="00691870"/>
    <w:rsid w:val="00692C33"/>
    <w:rsid w:val="00694E48"/>
    <w:rsid w:val="006A2EFF"/>
    <w:rsid w:val="006A3CB2"/>
    <w:rsid w:val="006A3E17"/>
    <w:rsid w:val="006A70E8"/>
    <w:rsid w:val="006B2799"/>
    <w:rsid w:val="006B2AC3"/>
    <w:rsid w:val="006B4C0A"/>
    <w:rsid w:val="006B50B0"/>
    <w:rsid w:val="006C0068"/>
    <w:rsid w:val="006C040F"/>
    <w:rsid w:val="006C1ABA"/>
    <w:rsid w:val="006C4180"/>
    <w:rsid w:val="006C4A0C"/>
    <w:rsid w:val="006C4F66"/>
    <w:rsid w:val="006C5BE2"/>
    <w:rsid w:val="006C6D47"/>
    <w:rsid w:val="006D0026"/>
    <w:rsid w:val="006D18B6"/>
    <w:rsid w:val="006D1EFC"/>
    <w:rsid w:val="006D215D"/>
    <w:rsid w:val="006D3B37"/>
    <w:rsid w:val="006D65DF"/>
    <w:rsid w:val="006D695F"/>
    <w:rsid w:val="006E1006"/>
    <w:rsid w:val="006E4154"/>
    <w:rsid w:val="006E4352"/>
    <w:rsid w:val="006E5826"/>
    <w:rsid w:val="006E7CB7"/>
    <w:rsid w:val="006F0945"/>
    <w:rsid w:val="006F1D35"/>
    <w:rsid w:val="006F38AF"/>
    <w:rsid w:val="006F4936"/>
    <w:rsid w:val="006F4E7A"/>
    <w:rsid w:val="007046FD"/>
    <w:rsid w:val="0070522C"/>
    <w:rsid w:val="0070618D"/>
    <w:rsid w:val="007063E8"/>
    <w:rsid w:val="00706722"/>
    <w:rsid w:val="00707969"/>
    <w:rsid w:val="007079D9"/>
    <w:rsid w:val="00713448"/>
    <w:rsid w:val="007139F7"/>
    <w:rsid w:val="00715CCF"/>
    <w:rsid w:val="0072773A"/>
    <w:rsid w:val="00727A16"/>
    <w:rsid w:val="00732330"/>
    <w:rsid w:val="00740DEE"/>
    <w:rsid w:val="00740E3E"/>
    <w:rsid w:val="0074247A"/>
    <w:rsid w:val="00744FDF"/>
    <w:rsid w:val="007450C6"/>
    <w:rsid w:val="007450F6"/>
    <w:rsid w:val="00745246"/>
    <w:rsid w:val="007524FE"/>
    <w:rsid w:val="00754C22"/>
    <w:rsid w:val="00755F8B"/>
    <w:rsid w:val="0076038D"/>
    <w:rsid w:val="0076054E"/>
    <w:rsid w:val="007614E8"/>
    <w:rsid w:val="0076173A"/>
    <w:rsid w:val="00761F10"/>
    <w:rsid w:val="0076367F"/>
    <w:rsid w:val="0076542E"/>
    <w:rsid w:val="0077221E"/>
    <w:rsid w:val="007728ED"/>
    <w:rsid w:val="007761AF"/>
    <w:rsid w:val="00780790"/>
    <w:rsid w:val="00780CDF"/>
    <w:rsid w:val="00782D20"/>
    <w:rsid w:val="0078770A"/>
    <w:rsid w:val="00791686"/>
    <w:rsid w:val="00792993"/>
    <w:rsid w:val="0079323C"/>
    <w:rsid w:val="00795ECC"/>
    <w:rsid w:val="007965E6"/>
    <w:rsid w:val="00796B07"/>
    <w:rsid w:val="0079775E"/>
    <w:rsid w:val="00797CD3"/>
    <w:rsid w:val="00797D4B"/>
    <w:rsid w:val="007A0C77"/>
    <w:rsid w:val="007A0FB4"/>
    <w:rsid w:val="007A2A37"/>
    <w:rsid w:val="007A3C17"/>
    <w:rsid w:val="007A4D70"/>
    <w:rsid w:val="007A7939"/>
    <w:rsid w:val="007B0A85"/>
    <w:rsid w:val="007B57F4"/>
    <w:rsid w:val="007B6BBC"/>
    <w:rsid w:val="007B6F0A"/>
    <w:rsid w:val="007D2B5C"/>
    <w:rsid w:val="007D43B3"/>
    <w:rsid w:val="007D4C18"/>
    <w:rsid w:val="007D4FBC"/>
    <w:rsid w:val="007D7717"/>
    <w:rsid w:val="007E12E5"/>
    <w:rsid w:val="007E1DA0"/>
    <w:rsid w:val="007E5E17"/>
    <w:rsid w:val="007E7465"/>
    <w:rsid w:val="007E7ADC"/>
    <w:rsid w:val="007F0229"/>
    <w:rsid w:val="007F07EE"/>
    <w:rsid w:val="007F3926"/>
    <w:rsid w:val="007F528F"/>
    <w:rsid w:val="007F631B"/>
    <w:rsid w:val="007F7B3F"/>
    <w:rsid w:val="008008EC"/>
    <w:rsid w:val="00803894"/>
    <w:rsid w:val="00804E99"/>
    <w:rsid w:val="00805637"/>
    <w:rsid w:val="0080589A"/>
    <w:rsid w:val="00805C78"/>
    <w:rsid w:val="00807140"/>
    <w:rsid w:val="0080788F"/>
    <w:rsid w:val="00807F40"/>
    <w:rsid w:val="0081026E"/>
    <w:rsid w:val="00810E75"/>
    <w:rsid w:val="00814F69"/>
    <w:rsid w:val="00816C11"/>
    <w:rsid w:val="00816E2F"/>
    <w:rsid w:val="00817B5F"/>
    <w:rsid w:val="00817D10"/>
    <w:rsid w:val="0082073F"/>
    <w:rsid w:val="008258E3"/>
    <w:rsid w:val="00827977"/>
    <w:rsid w:val="00827E2D"/>
    <w:rsid w:val="008300DD"/>
    <w:rsid w:val="00830B69"/>
    <w:rsid w:val="00830D1A"/>
    <w:rsid w:val="00831E15"/>
    <w:rsid w:val="008321A6"/>
    <w:rsid w:val="00833941"/>
    <w:rsid w:val="008350B1"/>
    <w:rsid w:val="00835D97"/>
    <w:rsid w:val="00842BF2"/>
    <w:rsid w:val="00844ED9"/>
    <w:rsid w:val="008507D0"/>
    <w:rsid w:val="00850CE2"/>
    <w:rsid w:val="00851566"/>
    <w:rsid w:val="00851C14"/>
    <w:rsid w:val="00852640"/>
    <w:rsid w:val="008564E7"/>
    <w:rsid w:val="008608D5"/>
    <w:rsid w:val="008612D8"/>
    <w:rsid w:val="0086158C"/>
    <w:rsid w:val="00861C4F"/>
    <w:rsid w:val="008624EA"/>
    <w:rsid w:val="00866382"/>
    <w:rsid w:val="00870E4A"/>
    <w:rsid w:val="00870E9F"/>
    <w:rsid w:val="00871800"/>
    <w:rsid w:val="00871883"/>
    <w:rsid w:val="008719D6"/>
    <w:rsid w:val="008723E0"/>
    <w:rsid w:val="008739DB"/>
    <w:rsid w:val="00874819"/>
    <w:rsid w:val="008757DD"/>
    <w:rsid w:val="00875F24"/>
    <w:rsid w:val="00876138"/>
    <w:rsid w:val="008822F9"/>
    <w:rsid w:val="00882699"/>
    <w:rsid w:val="00887C29"/>
    <w:rsid w:val="0089240A"/>
    <w:rsid w:val="00892F9E"/>
    <w:rsid w:val="0089505D"/>
    <w:rsid w:val="00897B61"/>
    <w:rsid w:val="008A27AB"/>
    <w:rsid w:val="008A467A"/>
    <w:rsid w:val="008A5E3E"/>
    <w:rsid w:val="008A64C3"/>
    <w:rsid w:val="008B28FD"/>
    <w:rsid w:val="008B561A"/>
    <w:rsid w:val="008C0FE1"/>
    <w:rsid w:val="008C210F"/>
    <w:rsid w:val="008C2B4B"/>
    <w:rsid w:val="008C4350"/>
    <w:rsid w:val="008C46B4"/>
    <w:rsid w:val="008C7713"/>
    <w:rsid w:val="008D14ED"/>
    <w:rsid w:val="008D1877"/>
    <w:rsid w:val="008D2961"/>
    <w:rsid w:val="008D2BFD"/>
    <w:rsid w:val="008D3B96"/>
    <w:rsid w:val="008D3F2F"/>
    <w:rsid w:val="008D45B2"/>
    <w:rsid w:val="008D4F15"/>
    <w:rsid w:val="008D6010"/>
    <w:rsid w:val="008D60CA"/>
    <w:rsid w:val="008E12D1"/>
    <w:rsid w:val="008E233C"/>
    <w:rsid w:val="008E259F"/>
    <w:rsid w:val="008E4F0E"/>
    <w:rsid w:val="008E5354"/>
    <w:rsid w:val="008E5395"/>
    <w:rsid w:val="008E64F4"/>
    <w:rsid w:val="008F0A51"/>
    <w:rsid w:val="008F2A59"/>
    <w:rsid w:val="008F3ECE"/>
    <w:rsid w:val="008F4B3B"/>
    <w:rsid w:val="008F58BD"/>
    <w:rsid w:val="008F5923"/>
    <w:rsid w:val="008F5D64"/>
    <w:rsid w:val="008F6E13"/>
    <w:rsid w:val="008F75EC"/>
    <w:rsid w:val="00904627"/>
    <w:rsid w:val="00910241"/>
    <w:rsid w:val="0091317A"/>
    <w:rsid w:val="00913350"/>
    <w:rsid w:val="00914BA1"/>
    <w:rsid w:val="0091529A"/>
    <w:rsid w:val="0091529F"/>
    <w:rsid w:val="00921F8B"/>
    <w:rsid w:val="009232DC"/>
    <w:rsid w:val="00923B23"/>
    <w:rsid w:val="00923D14"/>
    <w:rsid w:val="009246FC"/>
    <w:rsid w:val="0092529B"/>
    <w:rsid w:val="00925F4A"/>
    <w:rsid w:val="009306A7"/>
    <w:rsid w:val="00930E4E"/>
    <w:rsid w:val="00932AA8"/>
    <w:rsid w:val="009340D5"/>
    <w:rsid w:val="0093427D"/>
    <w:rsid w:val="00935C75"/>
    <w:rsid w:val="00935CA7"/>
    <w:rsid w:val="00936153"/>
    <w:rsid w:val="00936927"/>
    <w:rsid w:val="00940A04"/>
    <w:rsid w:val="00940DDA"/>
    <w:rsid w:val="00943805"/>
    <w:rsid w:val="00943EC8"/>
    <w:rsid w:val="009447B1"/>
    <w:rsid w:val="0094645C"/>
    <w:rsid w:val="00946F76"/>
    <w:rsid w:val="00947485"/>
    <w:rsid w:val="00952D56"/>
    <w:rsid w:val="00952EFA"/>
    <w:rsid w:val="00953A7A"/>
    <w:rsid w:val="00953C66"/>
    <w:rsid w:val="009541E1"/>
    <w:rsid w:val="009562E5"/>
    <w:rsid w:val="0096031E"/>
    <w:rsid w:val="00961A1B"/>
    <w:rsid w:val="00961FC6"/>
    <w:rsid w:val="00963EF7"/>
    <w:rsid w:val="009648BC"/>
    <w:rsid w:val="009718F7"/>
    <w:rsid w:val="00971CA1"/>
    <w:rsid w:val="00975B50"/>
    <w:rsid w:val="00976B3F"/>
    <w:rsid w:val="00980774"/>
    <w:rsid w:val="00981659"/>
    <w:rsid w:val="00982E62"/>
    <w:rsid w:val="00986912"/>
    <w:rsid w:val="00990607"/>
    <w:rsid w:val="009907DC"/>
    <w:rsid w:val="009916C0"/>
    <w:rsid w:val="0099252A"/>
    <w:rsid w:val="00992F1D"/>
    <w:rsid w:val="0099300A"/>
    <w:rsid w:val="00994A4A"/>
    <w:rsid w:val="00995F55"/>
    <w:rsid w:val="009A0465"/>
    <w:rsid w:val="009A1D16"/>
    <w:rsid w:val="009B202F"/>
    <w:rsid w:val="009C09A4"/>
    <w:rsid w:val="009C0B78"/>
    <w:rsid w:val="009C3089"/>
    <w:rsid w:val="009C4F88"/>
    <w:rsid w:val="009C7292"/>
    <w:rsid w:val="009D1435"/>
    <w:rsid w:val="009D1C02"/>
    <w:rsid w:val="009D2778"/>
    <w:rsid w:val="009D4A58"/>
    <w:rsid w:val="009E17B8"/>
    <w:rsid w:val="009E39AC"/>
    <w:rsid w:val="009E48D1"/>
    <w:rsid w:val="009E579E"/>
    <w:rsid w:val="009E5A39"/>
    <w:rsid w:val="009E777F"/>
    <w:rsid w:val="009F0529"/>
    <w:rsid w:val="009F3947"/>
    <w:rsid w:val="009F5A7E"/>
    <w:rsid w:val="00A003A1"/>
    <w:rsid w:val="00A00CB3"/>
    <w:rsid w:val="00A0151E"/>
    <w:rsid w:val="00A02AA3"/>
    <w:rsid w:val="00A0309D"/>
    <w:rsid w:val="00A04E3C"/>
    <w:rsid w:val="00A059E3"/>
    <w:rsid w:val="00A11A1F"/>
    <w:rsid w:val="00A165E2"/>
    <w:rsid w:val="00A1768F"/>
    <w:rsid w:val="00A20CE4"/>
    <w:rsid w:val="00A2448F"/>
    <w:rsid w:val="00A25AE6"/>
    <w:rsid w:val="00A27456"/>
    <w:rsid w:val="00A3321A"/>
    <w:rsid w:val="00A343C0"/>
    <w:rsid w:val="00A3525B"/>
    <w:rsid w:val="00A35C05"/>
    <w:rsid w:val="00A406BC"/>
    <w:rsid w:val="00A41556"/>
    <w:rsid w:val="00A4166A"/>
    <w:rsid w:val="00A50D3F"/>
    <w:rsid w:val="00A523E9"/>
    <w:rsid w:val="00A52888"/>
    <w:rsid w:val="00A554D8"/>
    <w:rsid w:val="00A569B7"/>
    <w:rsid w:val="00A60032"/>
    <w:rsid w:val="00A65656"/>
    <w:rsid w:val="00A66A9C"/>
    <w:rsid w:val="00A719F7"/>
    <w:rsid w:val="00A7204E"/>
    <w:rsid w:val="00A72274"/>
    <w:rsid w:val="00A759A8"/>
    <w:rsid w:val="00A80C67"/>
    <w:rsid w:val="00A81BD2"/>
    <w:rsid w:val="00A82302"/>
    <w:rsid w:val="00A825B7"/>
    <w:rsid w:val="00A82AD5"/>
    <w:rsid w:val="00A8350F"/>
    <w:rsid w:val="00A840A6"/>
    <w:rsid w:val="00A854BD"/>
    <w:rsid w:val="00A86B40"/>
    <w:rsid w:val="00A86FB3"/>
    <w:rsid w:val="00A91057"/>
    <w:rsid w:val="00A92370"/>
    <w:rsid w:val="00A92BFF"/>
    <w:rsid w:val="00A93BF5"/>
    <w:rsid w:val="00A93F22"/>
    <w:rsid w:val="00A96A29"/>
    <w:rsid w:val="00AA4283"/>
    <w:rsid w:val="00AA4BFB"/>
    <w:rsid w:val="00AA6E82"/>
    <w:rsid w:val="00AA731C"/>
    <w:rsid w:val="00AA7690"/>
    <w:rsid w:val="00AA7BF0"/>
    <w:rsid w:val="00AB1FDF"/>
    <w:rsid w:val="00AB28CE"/>
    <w:rsid w:val="00AB3F44"/>
    <w:rsid w:val="00AB7CBC"/>
    <w:rsid w:val="00AC0DFB"/>
    <w:rsid w:val="00AC192C"/>
    <w:rsid w:val="00AC49B7"/>
    <w:rsid w:val="00AC6A33"/>
    <w:rsid w:val="00AD0911"/>
    <w:rsid w:val="00AD13AE"/>
    <w:rsid w:val="00AD1EFB"/>
    <w:rsid w:val="00AD4837"/>
    <w:rsid w:val="00AD4AEC"/>
    <w:rsid w:val="00AD5885"/>
    <w:rsid w:val="00AF135C"/>
    <w:rsid w:val="00AF1460"/>
    <w:rsid w:val="00AF2EBB"/>
    <w:rsid w:val="00AF471C"/>
    <w:rsid w:val="00AF51D4"/>
    <w:rsid w:val="00AF6784"/>
    <w:rsid w:val="00B004EC"/>
    <w:rsid w:val="00B017BC"/>
    <w:rsid w:val="00B0208A"/>
    <w:rsid w:val="00B038CD"/>
    <w:rsid w:val="00B04306"/>
    <w:rsid w:val="00B04FE2"/>
    <w:rsid w:val="00B05209"/>
    <w:rsid w:val="00B07BC0"/>
    <w:rsid w:val="00B1249B"/>
    <w:rsid w:val="00B14B3F"/>
    <w:rsid w:val="00B23855"/>
    <w:rsid w:val="00B342D4"/>
    <w:rsid w:val="00B353AD"/>
    <w:rsid w:val="00B35421"/>
    <w:rsid w:val="00B37FDF"/>
    <w:rsid w:val="00B4155D"/>
    <w:rsid w:val="00B41FD6"/>
    <w:rsid w:val="00B438D7"/>
    <w:rsid w:val="00B465D7"/>
    <w:rsid w:val="00B528B5"/>
    <w:rsid w:val="00B541EE"/>
    <w:rsid w:val="00B5494A"/>
    <w:rsid w:val="00B6188D"/>
    <w:rsid w:val="00B61B4D"/>
    <w:rsid w:val="00B61D53"/>
    <w:rsid w:val="00B61E32"/>
    <w:rsid w:val="00B62EC2"/>
    <w:rsid w:val="00B640AA"/>
    <w:rsid w:val="00B65C00"/>
    <w:rsid w:val="00B660F1"/>
    <w:rsid w:val="00B669D5"/>
    <w:rsid w:val="00B670F9"/>
    <w:rsid w:val="00B7268F"/>
    <w:rsid w:val="00B726F2"/>
    <w:rsid w:val="00B75883"/>
    <w:rsid w:val="00B80D4A"/>
    <w:rsid w:val="00B81562"/>
    <w:rsid w:val="00B81E96"/>
    <w:rsid w:val="00B83BA3"/>
    <w:rsid w:val="00B84C06"/>
    <w:rsid w:val="00B86739"/>
    <w:rsid w:val="00B8674C"/>
    <w:rsid w:val="00B90001"/>
    <w:rsid w:val="00B90AB7"/>
    <w:rsid w:val="00B92412"/>
    <w:rsid w:val="00B93467"/>
    <w:rsid w:val="00B93C3A"/>
    <w:rsid w:val="00B94126"/>
    <w:rsid w:val="00B95268"/>
    <w:rsid w:val="00B95D37"/>
    <w:rsid w:val="00B968AE"/>
    <w:rsid w:val="00B97040"/>
    <w:rsid w:val="00BA1514"/>
    <w:rsid w:val="00BA1FF1"/>
    <w:rsid w:val="00BA2CFE"/>
    <w:rsid w:val="00BA3A9E"/>
    <w:rsid w:val="00BA474A"/>
    <w:rsid w:val="00BA6066"/>
    <w:rsid w:val="00BB445B"/>
    <w:rsid w:val="00BB6E13"/>
    <w:rsid w:val="00BC177D"/>
    <w:rsid w:val="00BC2A99"/>
    <w:rsid w:val="00BC2ED9"/>
    <w:rsid w:val="00BC3351"/>
    <w:rsid w:val="00BC3EA2"/>
    <w:rsid w:val="00BC53DF"/>
    <w:rsid w:val="00BC6381"/>
    <w:rsid w:val="00BC6AAC"/>
    <w:rsid w:val="00BD2AA0"/>
    <w:rsid w:val="00BD3363"/>
    <w:rsid w:val="00BD3BF2"/>
    <w:rsid w:val="00BD66AD"/>
    <w:rsid w:val="00BE0F61"/>
    <w:rsid w:val="00BE3EFA"/>
    <w:rsid w:val="00BE461E"/>
    <w:rsid w:val="00BE60A3"/>
    <w:rsid w:val="00BE689C"/>
    <w:rsid w:val="00BE6A85"/>
    <w:rsid w:val="00BE7168"/>
    <w:rsid w:val="00BE7216"/>
    <w:rsid w:val="00BF0C87"/>
    <w:rsid w:val="00BF461D"/>
    <w:rsid w:val="00BF5DE0"/>
    <w:rsid w:val="00BF74B2"/>
    <w:rsid w:val="00C01EB3"/>
    <w:rsid w:val="00C03402"/>
    <w:rsid w:val="00C05CF0"/>
    <w:rsid w:val="00C07771"/>
    <w:rsid w:val="00C07B1F"/>
    <w:rsid w:val="00C123D0"/>
    <w:rsid w:val="00C13605"/>
    <w:rsid w:val="00C13684"/>
    <w:rsid w:val="00C136FC"/>
    <w:rsid w:val="00C13E75"/>
    <w:rsid w:val="00C141BD"/>
    <w:rsid w:val="00C15653"/>
    <w:rsid w:val="00C175E7"/>
    <w:rsid w:val="00C177FE"/>
    <w:rsid w:val="00C21436"/>
    <w:rsid w:val="00C21C0D"/>
    <w:rsid w:val="00C21CDD"/>
    <w:rsid w:val="00C31478"/>
    <w:rsid w:val="00C3173B"/>
    <w:rsid w:val="00C31A97"/>
    <w:rsid w:val="00C32111"/>
    <w:rsid w:val="00C33301"/>
    <w:rsid w:val="00C33929"/>
    <w:rsid w:val="00C34C95"/>
    <w:rsid w:val="00C36C0C"/>
    <w:rsid w:val="00C36E55"/>
    <w:rsid w:val="00C37305"/>
    <w:rsid w:val="00C37471"/>
    <w:rsid w:val="00C44E33"/>
    <w:rsid w:val="00C46945"/>
    <w:rsid w:val="00C47842"/>
    <w:rsid w:val="00C500E0"/>
    <w:rsid w:val="00C51355"/>
    <w:rsid w:val="00C51553"/>
    <w:rsid w:val="00C51C49"/>
    <w:rsid w:val="00C539C3"/>
    <w:rsid w:val="00C56C30"/>
    <w:rsid w:val="00C57D5A"/>
    <w:rsid w:val="00C60312"/>
    <w:rsid w:val="00C61FC3"/>
    <w:rsid w:val="00C640E9"/>
    <w:rsid w:val="00C65001"/>
    <w:rsid w:val="00C6670A"/>
    <w:rsid w:val="00C70E26"/>
    <w:rsid w:val="00C719FF"/>
    <w:rsid w:val="00C722B9"/>
    <w:rsid w:val="00C73287"/>
    <w:rsid w:val="00C76FD8"/>
    <w:rsid w:val="00C80E2C"/>
    <w:rsid w:val="00C817B8"/>
    <w:rsid w:val="00C875C1"/>
    <w:rsid w:val="00C96809"/>
    <w:rsid w:val="00C9756C"/>
    <w:rsid w:val="00CA0C1B"/>
    <w:rsid w:val="00CA20A0"/>
    <w:rsid w:val="00CA29ED"/>
    <w:rsid w:val="00CA489C"/>
    <w:rsid w:val="00CA67FE"/>
    <w:rsid w:val="00CB0809"/>
    <w:rsid w:val="00CB1267"/>
    <w:rsid w:val="00CB4B07"/>
    <w:rsid w:val="00CB5327"/>
    <w:rsid w:val="00CB5C57"/>
    <w:rsid w:val="00CC0485"/>
    <w:rsid w:val="00CC2B38"/>
    <w:rsid w:val="00CC4D68"/>
    <w:rsid w:val="00CC6949"/>
    <w:rsid w:val="00CD271D"/>
    <w:rsid w:val="00CD311D"/>
    <w:rsid w:val="00CD41D6"/>
    <w:rsid w:val="00CE0A21"/>
    <w:rsid w:val="00CE15C1"/>
    <w:rsid w:val="00CE2836"/>
    <w:rsid w:val="00CE3745"/>
    <w:rsid w:val="00CE37EC"/>
    <w:rsid w:val="00CE53C2"/>
    <w:rsid w:val="00CE6570"/>
    <w:rsid w:val="00CF221E"/>
    <w:rsid w:val="00CF5DC7"/>
    <w:rsid w:val="00CF6C3F"/>
    <w:rsid w:val="00D003F1"/>
    <w:rsid w:val="00D00AA9"/>
    <w:rsid w:val="00D00EF1"/>
    <w:rsid w:val="00D01AF7"/>
    <w:rsid w:val="00D046D8"/>
    <w:rsid w:val="00D049B1"/>
    <w:rsid w:val="00D055FD"/>
    <w:rsid w:val="00D06911"/>
    <w:rsid w:val="00D10389"/>
    <w:rsid w:val="00D122D2"/>
    <w:rsid w:val="00D12C4F"/>
    <w:rsid w:val="00D1437C"/>
    <w:rsid w:val="00D162D6"/>
    <w:rsid w:val="00D16A1E"/>
    <w:rsid w:val="00D21420"/>
    <w:rsid w:val="00D21F80"/>
    <w:rsid w:val="00D22831"/>
    <w:rsid w:val="00D246F7"/>
    <w:rsid w:val="00D24EFC"/>
    <w:rsid w:val="00D30469"/>
    <w:rsid w:val="00D3057E"/>
    <w:rsid w:val="00D32614"/>
    <w:rsid w:val="00D327F4"/>
    <w:rsid w:val="00D34B57"/>
    <w:rsid w:val="00D351DF"/>
    <w:rsid w:val="00D35EFF"/>
    <w:rsid w:val="00D36AE7"/>
    <w:rsid w:val="00D36F4A"/>
    <w:rsid w:val="00D37104"/>
    <w:rsid w:val="00D37339"/>
    <w:rsid w:val="00D40261"/>
    <w:rsid w:val="00D408B1"/>
    <w:rsid w:val="00D40A02"/>
    <w:rsid w:val="00D410A1"/>
    <w:rsid w:val="00D44885"/>
    <w:rsid w:val="00D459EC"/>
    <w:rsid w:val="00D47C0C"/>
    <w:rsid w:val="00D511AA"/>
    <w:rsid w:val="00D55A1A"/>
    <w:rsid w:val="00D57842"/>
    <w:rsid w:val="00D624E7"/>
    <w:rsid w:val="00D6281B"/>
    <w:rsid w:val="00D656AC"/>
    <w:rsid w:val="00D70D3A"/>
    <w:rsid w:val="00D717D7"/>
    <w:rsid w:val="00D73E5C"/>
    <w:rsid w:val="00D75B75"/>
    <w:rsid w:val="00D80DE2"/>
    <w:rsid w:val="00D827D5"/>
    <w:rsid w:val="00D8329B"/>
    <w:rsid w:val="00D8611C"/>
    <w:rsid w:val="00D90A0C"/>
    <w:rsid w:val="00D92334"/>
    <w:rsid w:val="00D932D4"/>
    <w:rsid w:val="00D93C86"/>
    <w:rsid w:val="00D946E9"/>
    <w:rsid w:val="00D9510E"/>
    <w:rsid w:val="00D972F2"/>
    <w:rsid w:val="00DA3252"/>
    <w:rsid w:val="00DA39DE"/>
    <w:rsid w:val="00DA7103"/>
    <w:rsid w:val="00DA7119"/>
    <w:rsid w:val="00DA796A"/>
    <w:rsid w:val="00DB2C0E"/>
    <w:rsid w:val="00DB3EA6"/>
    <w:rsid w:val="00DB6088"/>
    <w:rsid w:val="00DB66B6"/>
    <w:rsid w:val="00DC23DE"/>
    <w:rsid w:val="00DC25B5"/>
    <w:rsid w:val="00DC262B"/>
    <w:rsid w:val="00DC2A56"/>
    <w:rsid w:val="00DC4DE4"/>
    <w:rsid w:val="00DC6A61"/>
    <w:rsid w:val="00DD1159"/>
    <w:rsid w:val="00DD24CB"/>
    <w:rsid w:val="00DD2FDD"/>
    <w:rsid w:val="00DD31C7"/>
    <w:rsid w:val="00DD7837"/>
    <w:rsid w:val="00DE3162"/>
    <w:rsid w:val="00DE3CB4"/>
    <w:rsid w:val="00DE3FAF"/>
    <w:rsid w:val="00DE5CC9"/>
    <w:rsid w:val="00DE6165"/>
    <w:rsid w:val="00DE7786"/>
    <w:rsid w:val="00DF021C"/>
    <w:rsid w:val="00DF057C"/>
    <w:rsid w:val="00DF1B03"/>
    <w:rsid w:val="00DF2DC3"/>
    <w:rsid w:val="00DF4AE0"/>
    <w:rsid w:val="00DF52E6"/>
    <w:rsid w:val="00DF77E7"/>
    <w:rsid w:val="00E009C0"/>
    <w:rsid w:val="00E01B0E"/>
    <w:rsid w:val="00E03EC8"/>
    <w:rsid w:val="00E059DB"/>
    <w:rsid w:val="00E067C2"/>
    <w:rsid w:val="00E07578"/>
    <w:rsid w:val="00E13276"/>
    <w:rsid w:val="00E14CAA"/>
    <w:rsid w:val="00E16C64"/>
    <w:rsid w:val="00E2065B"/>
    <w:rsid w:val="00E26756"/>
    <w:rsid w:val="00E3210C"/>
    <w:rsid w:val="00E32E1D"/>
    <w:rsid w:val="00E33999"/>
    <w:rsid w:val="00E34BCA"/>
    <w:rsid w:val="00E36F25"/>
    <w:rsid w:val="00E40697"/>
    <w:rsid w:val="00E40C11"/>
    <w:rsid w:val="00E41341"/>
    <w:rsid w:val="00E42002"/>
    <w:rsid w:val="00E4277A"/>
    <w:rsid w:val="00E43C26"/>
    <w:rsid w:val="00E45C11"/>
    <w:rsid w:val="00E4749F"/>
    <w:rsid w:val="00E5082B"/>
    <w:rsid w:val="00E51004"/>
    <w:rsid w:val="00E510AA"/>
    <w:rsid w:val="00E51A71"/>
    <w:rsid w:val="00E51E95"/>
    <w:rsid w:val="00E53FFA"/>
    <w:rsid w:val="00E56279"/>
    <w:rsid w:val="00E6311E"/>
    <w:rsid w:val="00E648F4"/>
    <w:rsid w:val="00E67322"/>
    <w:rsid w:val="00E70BB7"/>
    <w:rsid w:val="00E71ED9"/>
    <w:rsid w:val="00E72898"/>
    <w:rsid w:val="00E7488D"/>
    <w:rsid w:val="00E7513C"/>
    <w:rsid w:val="00E758C1"/>
    <w:rsid w:val="00E83652"/>
    <w:rsid w:val="00E85659"/>
    <w:rsid w:val="00E8576F"/>
    <w:rsid w:val="00E869D2"/>
    <w:rsid w:val="00E905E7"/>
    <w:rsid w:val="00E93386"/>
    <w:rsid w:val="00E958A9"/>
    <w:rsid w:val="00E962CB"/>
    <w:rsid w:val="00E96E47"/>
    <w:rsid w:val="00E97F5F"/>
    <w:rsid w:val="00EA1D67"/>
    <w:rsid w:val="00EA2507"/>
    <w:rsid w:val="00EA3F5E"/>
    <w:rsid w:val="00EA4CFB"/>
    <w:rsid w:val="00EA5402"/>
    <w:rsid w:val="00EB05D2"/>
    <w:rsid w:val="00EB3640"/>
    <w:rsid w:val="00EB3C6A"/>
    <w:rsid w:val="00EB4948"/>
    <w:rsid w:val="00EB5CAD"/>
    <w:rsid w:val="00EC15C2"/>
    <w:rsid w:val="00EC162A"/>
    <w:rsid w:val="00EC2B97"/>
    <w:rsid w:val="00EC51E5"/>
    <w:rsid w:val="00EC57D6"/>
    <w:rsid w:val="00EC645F"/>
    <w:rsid w:val="00EC7594"/>
    <w:rsid w:val="00EC75B5"/>
    <w:rsid w:val="00ED0BFB"/>
    <w:rsid w:val="00ED19FC"/>
    <w:rsid w:val="00ED7EA0"/>
    <w:rsid w:val="00EE10C3"/>
    <w:rsid w:val="00EE770B"/>
    <w:rsid w:val="00EE787E"/>
    <w:rsid w:val="00EF2CF4"/>
    <w:rsid w:val="00EF6D1C"/>
    <w:rsid w:val="00F003B3"/>
    <w:rsid w:val="00F007AD"/>
    <w:rsid w:val="00F01AAE"/>
    <w:rsid w:val="00F0371B"/>
    <w:rsid w:val="00F1133D"/>
    <w:rsid w:val="00F13400"/>
    <w:rsid w:val="00F151FD"/>
    <w:rsid w:val="00F2141B"/>
    <w:rsid w:val="00F22867"/>
    <w:rsid w:val="00F23079"/>
    <w:rsid w:val="00F2507A"/>
    <w:rsid w:val="00F258DF"/>
    <w:rsid w:val="00F25B31"/>
    <w:rsid w:val="00F279FE"/>
    <w:rsid w:val="00F30296"/>
    <w:rsid w:val="00F30934"/>
    <w:rsid w:val="00F3121B"/>
    <w:rsid w:val="00F31AA8"/>
    <w:rsid w:val="00F321DC"/>
    <w:rsid w:val="00F3247F"/>
    <w:rsid w:val="00F34397"/>
    <w:rsid w:val="00F355BC"/>
    <w:rsid w:val="00F36B93"/>
    <w:rsid w:val="00F43784"/>
    <w:rsid w:val="00F45CF7"/>
    <w:rsid w:val="00F45D79"/>
    <w:rsid w:val="00F47E34"/>
    <w:rsid w:val="00F510F2"/>
    <w:rsid w:val="00F5619D"/>
    <w:rsid w:val="00F63E43"/>
    <w:rsid w:val="00F645AA"/>
    <w:rsid w:val="00F66B3B"/>
    <w:rsid w:val="00F7032D"/>
    <w:rsid w:val="00F72D02"/>
    <w:rsid w:val="00F73EB2"/>
    <w:rsid w:val="00F74812"/>
    <w:rsid w:val="00F74A5D"/>
    <w:rsid w:val="00F77C7F"/>
    <w:rsid w:val="00F843B1"/>
    <w:rsid w:val="00F85A7C"/>
    <w:rsid w:val="00F85FAC"/>
    <w:rsid w:val="00F900C7"/>
    <w:rsid w:val="00F90503"/>
    <w:rsid w:val="00F90991"/>
    <w:rsid w:val="00F92094"/>
    <w:rsid w:val="00F924D7"/>
    <w:rsid w:val="00F927B2"/>
    <w:rsid w:val="00F9491E"/>
    <w:rsid w:val="00F970C2"/>
    <w:rsid w:val="00F9762D"/>
    <w:rsid w:val="00FA08AF"/>
    <w:rsid w:val="00FA341C"/>
    <w:rsid w:val="00FA77B9"/>
    <w:rsid w:val="00FB2685"/>
    <w:rsid w:val="00FB464E"/>
    <w:rsid w:val="00FB5D41"/>
    <w:rsid w:val="00FC130D"/>
    <w:rsid w:val="00FC22D9"/>
    <w:rsid w:val="00FC27C0"/>
    <w:rsid w:val="00FC713A"/>
    <w:rsid w:val="00FD0282"/>
    <w:rsid w:val="00FD0D0D"/>
    <w:rsid w:val="00FD24BB"/>
    <w:rsid w:val="00FD3C51"/>
    <w:rsid w:val="00FD445D"/>
    <w:rsid w:val="00FD524C"/>
    <w:rsid w:val="00FD693E"/>
    <w:rsid w:val="00FD79BA"/>
    <w:rsid w:val="00FD7A20"/>
    <w:rsid w:val="00FE034C"/>
    <w:rsid w:val="00FE199A"/>
    <w:rsid w:val="00FE4F3F"/>
    <w:rsid w:val="00FE6B04"/>
    <w:rsid w:val="00FE6CC4"/>
    <w:rsid w:val="00FE7AF1"/>
    <w:rsid w:val="00FF01C7"/>
    <w:rsid w:val="00FF0EAC"/>
    <w:rsid w:val="00FF1AC5"/>
    <w:rsid w:val="00FF2097"/>
    <w:rsid w:val="00FF2FF1"/>
    <w:rsid w:val="00FF3EBE"/>
    <w:rsid w:val="00FF52F9"/>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E598B-92C5-476D-B9D3-AD9DBDF6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F4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20280"/>
    <w:pPr>
      <w:spacing w:before="100" w:beforeAutospacing="1" w:after="100" w:afterAutospacing="1"/>
    </w:pPr>
    <w:rPr>
      <w:lang w:val="bg-BG" w:eastAsia="bg-BG"/>
    </w:rPr>
  </w:style>
  <w:style w:type="paragraph" w:customStyle="1" w:styleId="Default">
    <w:name w:val="Default"/>
    <w:rsid w:val="00020280"/>
    <w:pPr>
      <w:autoSpaceDE w:val="0"/>
      <w:autoSpaceDN w:val="0"/>
      <w:adjustRightInd w:val="0"/>
      <w:spacing w:after="0" w:line="240" w:lineRule="auto"/>
    </w:pPr>
    <w:rPr>
      <w:rFonts w:ascii="Gotham" w:eastAsia="Times New Roman" w:hAnsi="Gotham" w:cs="Gotham"/>
      <w:color w:val="000000"/>
      <w:sz w:val="24"/>
      <w:szCs w:val="24"/>
      <w:lang w:eastAsia="bg-BG"/>
    </w:rPr>
  </w:style>
  <w:style w:type="character" w:customStyle="1" w:styleId="a">
    <w:name w:val="Основен текст_"/>
    <w:link w:val="a0"/>
    <w:locked/>
    <w:rsid w:val="00020280"/>
    <w:rPr>
      <w:sz w:val="23"/>
      <w:szCs w:val="23"/>
      <w:shd w:val="clear" w:color="auto" w:fill="FFFFFF"/>
    </w:rPr>
  </w:style>
  <w:style w:type="paragraph" w:customStyle="1" w:styleId="a0">
    <w:name w:val="Основен текст"/>
    <w:basedOn w:val="Normal"/>
    <w:link w:val="a"/>
    <w:rsid w:val="00020280"/>
    <w:pPr>
      <w:widowControl w:val="0"/>
      <w:shd w:val="clear" w:color="auto" w:fill="FFFFFF"/>
      <w:spacing w:before="240" w:after="240" w:line="269" w:lineRule="exact"/>
      <w:jc w:val="both"/>
    </w:pPr>
    <w:rPr>
      <w:rFonts w:asciiTheme="minorHAnsi" w:eastAsiaTheme="minorHAnsi" w:hAnsiTheme="minorHAnsi" w:cstheme="minorBidi"/>
      <w:sz w:val="23"/>
      <w:szCs w:val="23"/>
      <w:lang w:val="bg-BG"/>
    </w:rPr>
  </w:style>
  <w:style w:type="paragraph" w:styleId="ListParagraph">
    <w:name w:val="List Paragraph"/>
    <w:basedOn w:val="Normal"/>
    <w:link w:val="ListParagraphChar"/>
    <w:uiPriority w:val="34"/>
    <w:qFormat/>
    <w:rsid w:val="004B1FBF"/>
    <w:pPr>
      <w:spacing w:after="200" w:line="276" w:lineRule="auto"/>
      <w:ind w:left="720"/>
    </w:pPr>
    <w:rPr>
      <w:rFonts w:ascii="Calibri" w:hAnsi="Calibri"/>
      <w:sz w:val="22"/>
      <w:szCs w:val="22"/>
      <w:lang w:val="bg-BG"/>
    </w:rPr>
  </w:style>
  <w:style w:type="character" w:customStyle="1" w:styleId="ListParagraphChar">
    <w:name w:val="List Paragraph Char"/>
    <w:link w:val="ListParagraph"/>
    <w:uiPriority w:val="34"/>
    <w:rsid w:val="004B1FBF"/>
    <w:rPr>
      <w:rFonts w:ascii="Calibri" w:eastAsia="Times New Roman" w:hAnsi="Calibri" w:cs="Times New Roman"/>
    </w:rPr>
  </w:style>
  <w:style w:type="character" w:styleId="CommentReference">
    <w:name w:val="annotation reference"/>
    <w:basedOn w:val="DefaultParagraphFont"/>
    <w:uiPriority w:val="99"/>
    <w:semiHidden/>
    <w:unhideWhenUsed/>
    <w:rsid w:val="007F0229"/>
    <w:rPr>
      <w:sz w:val="16"/>
      <w:szCs w:val="16"/>
    </w:rPr>
  </w:style>
  <w:style w:type="paragraph" w:styleId="CommentText">
    <w:name w:val="annotation text"/>
    <w:basedOn w:val="Normal"/>
    <w:link w:val="CommentTextChar"/>
    <w:uiPriority w:val="99"/>
    <w:unhideWhenUsed/>
    <w:rsid w:val="007F0229"/>
    <w:rPr>
      <w:sz w:val="20"/>
      <w:szCs w:val="20"/>
    </w:rPr>
  </w:style>
  <w:style w:type="character" w:customStyle="1" w:styleId="CommentTextChar">
    <w:name w:val="Comment Text Char"/>
    <w:basedOn w:val="DefaultParagraphFont"/>
    <w:link w:val="CommentText"/>
    <w:uiPriority w:val="99"/>
    <w:rsid w:val="007F022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F0229"/>
    <w:rPr>
      <w:b/>
      <w:bCs/>
    </w:rPr>
  </w:style>
  <w:style w:type="character" w:customStyle="1" w:styleId="CommentSubjectChar">
    <w:name w:val="Comment Subject Char"/>
    <w:basedOn w:val="CommentTextChar"/>
    <w:link w:val="CommentSubject"/>
    <w:uiPriority w:val="99"/>
    <w:semiHidden/>
    <w:rsid w:val="007F0229"/>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7F02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229"/>
    <w:rPr>
      <w:rFonts w:ascii="Segoe UI" w:eastAsia="Times New Roman" w:hAnsi="Segoe UI" w:cs="Segoe UI"/>
      <w:sz w:val="18"/>
      <w:szCs w:val="18"/>
      <w:lang w:val="en-GB"/>
    </w:rPr>
  </w:style>
  <w:style w:type="numbering" w:customStyle="1" w:styleId="NoList1">
    <w:name w:val="No List1"/>
    <w:next w:val="NoList"/>
    <w:semiHidden/>
    <w:rsid w:val="009E579E"/>
  </w:style>
  <w:style w:type="paragraph" w:styleId="Footer">
    <w:name w:val="footer"/>
    <w:basedOn w:val="Normal"/>
    <w:link w:val="FooterChar"/>
    <w:uiPriority w:val="99"/>
    <w:rsid w:val="009E579E"/>
    <w:pPr>
      <w:tabs>
        <w:tab w:val="center" w:pos="4536"/>
        <w:tab w:val="right" w:pos="9072"/>
      </w:tabs>
    </w:pPr>
  </w:style>
  <w:style w:type="character" w:customStyle="1" w:styleId="FooterChar">
    <w:name w:val="Footer Char"/>
    <w:basedOn w:val="DefaultParagraphFont"/>
    <w:link w:val="Footer"/>
    <w:uiPriority w:val="99"/>
    <w:rsid w:val="009E579E"/>
    <w:rPr>
      <w:rFonts w:ascii="Times New Roman" w:eastAsia="Times New Roman" w:hAnsi="Times New Roman" w:cs="Times New Roman"/>
      <w:sz w:val="24"/>
      <w:szCs w:val="24"/>
      <w:lang w:val="en-GB"/>
    </w:rPr>
  </w:style>
  <w:style w:type="character" w:styleId="PageNumber">
    <w:name w:val="page number"/>
    <w:basedOn w:val="DefaultParagraphFont"/>
    <w:rsid w:val="009E579E"/>
  </w:style>
  <w:style w:type="character" w:styleId="Hyperlink">
    <w:name w:val="Hyperlink"/>
    <w:unhideWhenUsed/>
    <w:rsid w:val="009E579E"/>
    <w:rPr>
      <w:color w:val="0000FF"/>
      <w:u w:val="single"/>
    </w:rPr>
  </w:style>
  <w:style w:type="character" w:styleId="Strong">
    <w:name w:val="Strong"/>
    <w:qFormat/>
    <w:rsid w:val="009E579E"/>
    <w:rPr>
      <w:b/>
      <w:bCs/>
    </w:rPr>
  </w:style>
  <w:style w:type="paragraph" w:styleId="Header">
    <w:name w:val="header"/>
    <w:basedOn w:val="Normal"/>
    <w:link w:val="HeaderChar"/>
    <w:rsid w:val="009E579E"/>
    <w:pPr>
      <w:tabs>
        <w:tab w:val="center" w:pos="4536"/>
        <w:tab w:val="right" w:pos="9072"/>
      </w:tabs>
    </w:pPr>
  </w:style>
  <w:style w:type="character" w:customStyle="1" w:styleId="HeaderChar">
    <w:name w:val="Header Char"/>
    <w:basedOn w:val="DefaultParagraphFont"/>
    <w:link w:val="Header"/>
    <w:rsid w:val="009E579E"/>
    <w:rPr>
      <w:rFonts w:ascii="Times New Roman" w:eastAsia="Times New Roman" w:hAnsi="Times New Roman" w:cs="Times New Roman"/>
      <w:sz w:val="24"/>
      <w:szCs w:val="24"/>
      <w:lang w:val="en-GB"/>
    </w:rPr>
  </w:style>
  <w:style w:type="character" w:customStyle="1" w:styleId="samedocreference1">
    <w:name w:val="samedocreference1"/>
    <w:basedOn w:val="DefaultParagraphFont"/>
    <w:rsid w:val="00B8674C"/>
    <w:rPr>
      <w:i w:val="0"/>
      <w:iCs w:val="0"/>
      <w:color w:val="8B0000"/>
      <w:u w:val="single"/>
    </w:rPr>
  </w:style>
  <w:style w:type="character" w:customStyle="1" w:styleId="legaldocreference">
    <w:name w:val="legaldocreference"/>
    <w:basedOn w:val="DefaultParagraphFont"/>
    <w:rsid w:val="00C60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2350">
      <w:bodyDiv w:val="1"/>
      <w:marLeft w:val="0"/>
      <w:marRight w:val="0"/>
      <w:marTop w:val="0"/>
      <w:marBottom w:val="0"/>
      <w:divBdr>
        <w:top w:val="none" w:sz="0" w:space="0" w:color="auto"/>
        <w:left w:val="none" w:sz="0" w:space="0" w:color="auto"/>
        <w:bottom w:val="none" w:sz="0" w:space="0" w:color="auto"/>
        <w:right w:val="none" w:sz="0" w:space="0" w:color="auto"/>
      </w:divBdr>
    </w:div>
    <w:div w:id="223637794">
      <w:bodyDiv w:val="1"/>
      <w:marLeft w:val="390"/>
      <w:marRight w:val="390"/>
      <w:marTop w:val="0"/>
      <w:marBottom w:val="0"/>
      <w:divBdr>
        <w:top w:val="none" w:sz="0" w:space="0" w:color="auto"/>
        <w:left w:val="none" w:sz="0" w:space="0" w:color="auto"/>
        <w:bottom w:val="none" w:sz="0" w:space="0" w:color="auto"/>
        <w:right w:val="none" w:sz="0" w:space="0" w:color="auto"/>
      </w:divBdr>
      <w:divsChild>
        <w:div w:id="1396582383">
          <w:marLeft w:val="0"/>
          <w:marRight w:val="0"/>
          <w:marTop w:val="0"/>
          <w:marBottom w:val="120"/>
          <w:divBdr>
            <w:top w:val="none" w:sz="0" w:space="0" w:color="auto"/>
            <w:left w:val="none" w:sz="0" w:space="0" w:color="auto"/>
            <w:bottom w:val="none" w:sz="0" w:space="0" w:color="auto"/>
            <w:right w:val="none" w:sz="0" w:space="0" w:color="auto"/>
          </w:divBdr>
          <w:divsChild>
            <w:div w:id="1687094244">
              <w:marLeft w:val="0"/>
              <w:marRight w:val="0"/>
              <w:marTop w:val="0"/>
              <w:marBottom w:val="0"/>
              <w:divBdr>
                <w:top w:val="none" w:sz="0" w:space="0" w:color="auto"/>
                <w:left w:val="none" w:sz="0" w:space="0" w:color="auto"/>
                <w:bottom w:val="none" w:sz="0" w:space="0" w:color="auto"/>
                <w:right w:val="none" w:sz="0" w:space="0" w:color="auto"/>
              </w:divBdr>
            </w:div>
            <w:div w:id="11478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32095">
      <w:bodyDiv w:val="1"/>
      <w:marLeft w:val="0"/>
      <w:marRight w:val="0"/>
      <w:marTop w:val="0"/>
      <w:marBottom w:val="0"/>
      <w:divBdr>
        <w:top w:val="none" w:sz="0" w:space="0" w:color="auto"/>
        <w:left w:val="none" w:sz="0" w:space="0" w:color="auto"/>
        <w:bottom w:val="none" w:sz="0" w:space="0" w:color="auto"/>
        <w:right w:val="none" w:sz="0" w:space="0" w:color="auto"/>
      </w:divBdr>
    </w:div>
    <w:div w:id="436684171">
      <w:bodyDiv w:val="1"/>
      <w:marLeft w:val="390"/>
      <w:marRight w:val="390"/>
      <w:marTop w:val="0"/>
      <w:marBottom w:val="0"/>
      <w:divBdr>
        <w:top w:val="none" w:sz="0" w:space="0" w:color="auto"/>
        <w:left w:val="none" w:sz="0" w:space="0" w:color="auto"/>
        <w:bottom w:val="none" w:sz="0" w:space="0" w:color="auto"/>
        <w:right w:val="none" w:sz="0" w:space="0" w:color="auto"/>
      </w:divBdr>
      <w:divsChild>
        <w:div w:id="871459101">
          <w:marLeft w:val="0"/>
          <w:marRight w:val="0"/>
          <w:marTop w:val="0"/>
          <w:marBottom w:val="120"/>
          <w:divBdr>
            <w:top w:val="none" w:sz="0" w:space="0" w:color="auto"/>
            <w:left w:val="none" w:sz="0" w:space="0" w:color="auto"/>
            <w:bottom w:val="none" w:sz="0" w:space="0" w:color="auto"/>
            <w:right w:val="none" w:sz="0" w:space="0" w:color="auto"/>
          </w:divBdr>
          <w:divsChild>
            <w:div w:id="11101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5358">
      <w:bodyDiv w:val="1"/>
      <w:marLeft w:val="0"/>
      <w:marRight w:val="0"/>
      <w:marTop w:val="0"/>
      <w:marBottom w:val="0"/>
      <w:divBdr>
        <w:top w:val="none" w:sz="0" w:space="0" w:color="auto"/>
        <w:left w:val="none" w:sz="0" w:space="0" w:color="auto"/>
        <w:bottom w:val="none" w:sz="0" w:space="0" w:color="auto"/>
        <w:right w:val="none" w:sz="0" w:space="0" w:color="auto"/>
      </w:divBdr>
      <w:divsChild>
        <w:div w:id="28582151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51365996">
      <w:bodyDiv w:val="1"/>
      <w:marLeft w:val="390"/>
      <w:marRight w:val="390"/>
      <w:marTop w:val="0"/>
      <w:marBottom w:val="0"/>
      <w:divBdr>
        <w:top w:val="none" w:sz="0" w:space="0" w:color="auto"/>
        <w:left w:val="none" w:sz="0" w:space="0" w:color="auto"/>
        <w:bottom w:val="none" w:sz="0" w:space="0" w:color="auto"/>
        <w:right w:val="none" w:sz="0" w:space="0" w:color="auto"/>
      </w:divBdr>
      <w:divsChild>
        <w:div w:id="1394966434">
          <w:marLeft w:val="0"/>
          <w:marRight w:val="0"/>
          <w:marTop w:val="0"/>
          <w:marBottom w:val="150"/>
          <w:divBdr>
            <w:top w:val="none" w:sz="0" w:space="0" w:color="auto"/>
            <w:left w:val="none" w:sz="0" w:space="0" w:color="auto"/>
            <w:bottom w:val="none" w:sz="0" w:space="0" w:color="auto"/>
            <w:right w:val="none" w:sz="0" w:space="0" w:color="auto"/>
          </w:divBdr>
          <w:divsChild>
            <w:div w:id="5983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3188">
      <w:bodyDiv w:val="1"/>
      <w:marLeft w:val="0"/>
      <w:marRight w:val="0"/>
      <w:marTop w:val="0"/>
      <w:marBottom w:val="0"/>
      <w:divBdr>
        <w:top w:val="none" w:sz="0" w:space="0" w:color="auto"/>
        <w:left w:val="none" w:sz="0" w:space="0" w:color="auto"/>
        <w:bottom w:val="none" w:sz="0" w:space="0" w:color="auto"/>
        <w:right w:val="none" w:sz="0" w:space="0" w:color="auto"/>
      </w:divBdr>
      <w:divsChild>
        <w:div w:id="28481988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29771489">
      <w:bodyDiv w:val="1"/>
      <w:marLeft w:val="0"/>
      <w:marRight w:val="0"/>
      <w:marTop w:val="0"/>
      <w:marBottom w:val="0"/>
      <w:divBdr>
        <w:top w:val="none" w:sz="0" w:space="0" w:color="auto"/>
        <w:left w:val="none" w:sz="0" w:space="0" w:color="auto"/>
        <w:bottom w:val="none" w:sz="0" w:space="0" w:color="auto"/>
        <w:right w:val="none" w:sz="0" w:space="0" w:color="auto"/>
      </w:divBdr>
    </w:div>
    <w:div w:id="1539047941">
      <w:bodyDiv w:val="1"/>
      <w:marLeft w:val="390"/>
      <w:marRight w:val="390"/>
      <w:marTop w:val="0"/>
      <w:marBottom w:val="0"/>
      <w:divBdr>
        <w:top w:val="none" w:sz="0" w:space="0" w:color="auto"/>
        <w:left w:val="none" w:sz="0" w:space="0" w:color="auto"/>
        <w:bottom w:val="none" w:sz="0" w:space="0" w:color="auto"/>
        <w:right w:val="none" w:sz="0" w:space="0" w:color="auto"/>
      </w:divBdr>
      <w:divsChild>
        <w:div w:id="1664430179">
          <w:marLeft w:val="0"/>
          <w:marRight w:val="0"/>
          <w:marTop w:val="0"/>
          <w:marBottom w:val="120"/>
          <w:divBdr>
            <w:top w:val="none" w:sz="0" w:space="0" w:color="auto"/>
            <w:left w:val="none" w:sz="0" w:space="0" w:color="auto"/>
            <w:bottom w:val="none" w:sz="0" w:space="0" w:color="auto"/>
            <w:right w:val="none" w:sz="0" w:space="0" w:color="auto"/>
          </w:divBdr>
          <w:divsChild>
            <w:div w:id="646007935">
              <w:marLeft w:val="0"/>
              <w:marRight w:val="0"/>
              <w:marTop w:val="0"/>
              <w:marBottom w:val="0"/>
              <w:divBdr>
                <w:top w:val="none" w:sz="0" w:space="0" w:color="auto"/>
                <w:left w:val="none" w:sz="0" w:space="0" w:color="auto"/>
                <w:bottom w:val="none" w:sz="0" w:space="0" w:color="auto"/>
                <w:right w:val="none" w:sz="0" w:space="0" w:color="auto"/>
              </w:divBdr>
            </w:div>
            <w:div w:id="891385423">
              <w:marLeft w:val="0"/>
              <w:marRight w:val="0"/>
              <w:marTop w:val="0"/>
              <w:marBottom w:val="0"/>
              <w:divBdr>
                <w:top w:val="none" w:sz="0" w:space="0" w:color="auto"/>
                <w:left w:val="none" w:sz="0" w:space="0" w:color="auto"/>
                <w:bottom w:val="none" w:sz="0" w:space="0" w:color="auto"/>
                <w:right w:val="none" w:sz="0" w:space="0" w:color="auto"/>
              </w:divBdr>
            </w:div>
            <w:div w:id="1652637189">
              <w:marLeft w:val="0"/>
              <w:marRight w:val="0"/>
              <w:marTop w:val="0"/>
              <w:marBottom w:val="0"/>
              <w:divBdr>
                <w:top w:val="none" w:sz="0" w:space="0" w:color="auto"/>
                <w:left w:val="none" w:sz="0" w:space="0" w:color="auto"/>
                <w:bottom w:val="none" w:sz="0" w:space="0" w:color="auto"/>
                <w:right w:val="none" w:sz="0" w:space="0" w:color="auto"/>
              </w:divBdr>
            </w:div>
            <w:div w:id="14741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1623">
      <w:bodyDiv w:val="1"/>
      <w:marLeft w:val="0"/>
      <w:marRight w:val="0"/>
      <w:marTop w:val="0"/>
      <w:marBottom w:val="0"/>
      <w:divBdr>
        <w:top w:val="none" w:sz="0" w:space="0" w:color="auto"/>
        <w:left w:val="none" w:sz="0" w:space="0" w:color="auto"/>
        <w:bottom w:val="none" w:sz="0" w:space="0" w:color="auto"/>
        <w:right w:val="none" w:sz="0" w:space="0" w:color="auto"/>
      </w:divBdr>
      <w:divsChild>
        <w:div w:id="913590920">
          <w:marLeft w:val="0"/>
          <w:marRight w:val="0"/>
          <w:marTop w:val="0"/>
          <w:marBottom w:val="0"/>
          <w:divBdr>
            <w:top w:val="none" w:sz="0" w:space="0" w:color="auto"/>
            <w:left w:val="none" w:sz="0" w:space="0" w:color="auto"/>
            <w:bottom w:val="none" w:sz="0" w:space="0" w:color="auto"/>
            <w:right w:val="none" w:sz="0" w:space="0" w:color="auto"/>
          </w:divBdr>
        </w:div>
        <w:div w:id="1325663011">
          <w:marLeft w:val="0"/>
          <w:marRight w:val="0"/>
          <w:marTop w:val="0"/>
          <w:marBottom w:val="0"/>
          <w:divBdr>
            <w:top w:val="none" w:sz="0" w:space="0" w:color="auto"/>
            <w:left w:val="none" w:sz="0" w:space="0" w:color="auto"/>
            <w:bottom w:val="none" w:sz="0" w:space="0" w:color="auto"/>
            <w:right w:val="none" w:sz="0" w:space="0" w:color="auto"/>
          </w:divBdr>
        </w:div>
      </w:divsChild>
    </w:div>
    <w:div w:id="1786923788">
      <w:bodyDiv w:val="1"/>
      <w:marLeft w:val="0"/>
      <w:marRight w:val="0"/>
      <w:marTop w:val="0"/>
      <w:marBottom w:val="0"/>
      <w:divBdr>
        <w:top w:val="none" w:sz="0" w:space="0" w:color="auto"/>
        <w:left w:val="none" w:sz="0" w:space="0" w:color="auto"/>
        <w:bottom w:val="none" w:sz="0" w:space="0" w:color="auto"/>
        <w:right w:val="none" w:sz="0" w:space="0" w:color="auto"/>
      </w:divBdr>
      <w:divsChild>
        <w:div w:id="863984822">
          <w:marLeft w:val="0"/>
          <w:marRight w:val="0"/>
          <w:marTop w:val="150"/>
          <w:marBottom w:val="0"/>
          <w:divBdr>
            <w:top w:val="single" w:sz="6" w:space="0" w:color="FFFFFF"/>
            <w:left w:val="single" w:sz="6" w:space="0" w:color="FFFFFF"/>
            <w:bottom w:val="single" w:sz="6" w:space="0" w:color="FFFFFF"/>
            <w:right w:val="single" w:sz="6" w:space="0" w:color="FFFFFF"/>
          </w:divBdr>
        </w:div>
        <w:div w:id="1325933413">
          <w:marLeft w:val="0"/>
          <w:marRight w:val="0"/>
          <w:marTop w:val="150"/>
          <w:marBottom w:val="0"/>
          <w:divBdr>
            <w:top w:val="single" w:sz="6" w:space="0" w:color="FFFFFF"/>
            <w:left w:val="single" w:sz="6" w:space="0" w:color="FFFFFF"/>
            <w:bottom w:val="single" w:sz="6" w:space="0" w:color="FFFFFF"/>
            <w:right w:val="single" w:sz="6" w:space="0" w:color="FFFFFF"/>
          </w:divBdr>
          <w:divsChild>
            <w:div w:id="1319646955">
              <w:marLeft w:val="0"/>
              <w:marRight w:val="60"/>
              <w:marTop w:val="45"/>
              <w:marBottom w:val="0"/>
              <w:divBdr>
                <w:top w:val="none" w:sz="0" w:space="0" w:color="auto"/>
                <w:left w:val="none" w:sz="0" w:space="0" w:color="auto"/>
                <w:bottom w:val="none" w:sz="0" w:space="0" w:color="auto"/>
                <w:right w:val="none" w:sz="0" w:space="0" w:color="auto"/>
              </w:divBdr>
            </w:div>
            <w:div w:id="1976984113">
              <w:marLeft w:val="0"/>
              <w:marRight w:val="60"/>
              <w:marTop w:val="45"/>
              <w:marBottom w:val="0"/>
              <w:divBdr>
                <w:top w:val="none" w:sz="0" w:space="0" w:color="auto"/>
                <w:left w:val="none" w:sz="0" w:space="0" w:color="auto"/>
                <w:bottom w:val="none" w:sz="0" w:space="0" w:color="auto"/>
                <w:right w:val="none" w:sz="0" w:space="0" w:color="auto"/>
              </w:divBdr>
            </w:div>
            <w:div w:id="232279318">
              <w:marLeft w:val="0"/>
              <w:marRight w:val="60"/>
              <w:marTop w:val="45"/>
              <w:marBottom w:val="0"/>
              <w:divBdr>
                <w:top w:val="none" w:sz="0" w:space="0" w:color="auto"/>
                <w:left w:val="none" w:sz="0" w:space="0" w:color="auto"/>
                <w:bottom w:val="none" w:sz="0" w:space="0" w:color="auto"/>
                <w:right w:val="none" w:sz="0" w:space="0" w:color="auto"/>
              </w:divBdr>
            </w:div>
            <w:div w:id="1942566160">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961640120">
      <w:bodyDiv w:val="1"/>
      <w:marLeft w:val="390"/>
      <w:marRight w:val="390"/>
      <w:marTop w:val="0"/>
      <w:marBottom w:val="0"/>
      <w:divBdr>
        <w:top w:val="none" w:sz="0" w:space="0" w:color="auto"/>
        <w:left w:val="none" w:sz="0" w:space="0" w:color="auto"/>
        <w:bottom w:val="none" w:sz="0" w:space="0" w:color="auto"/>
        <w:right w:val="none" w:sz="0" w:space="0" w:color="auto"/>
      </w:divBdr>
      <w:divsChild>
        <w:div w:id="1036663588">
          <w:marLeft w:val="0"/>
          <w:marRight w:val="0"/>
          <w:marTop w:val="0"/>
          <w:marBottom w:val="120"/>
          <w:divBdr>
            <w:top w:val="none" w:sz="0" w:space="0" w:color="auto"/>
            <w:left w:val="none" w:sz="0" w:space="0" w:color="auto"/>
            <w:bottom w:val="none" w:sz="0" w:space="0" w:color="auto"/>
            <w:right w:val="none" w:sz="0" w:space="0" w:color="auto"/>
          </w:divBdr>
          <w:divsChild>
            <w:div w:id="1606234706">
              <w:marLeft w:val="0"/>
              <w:marRight w:val="0"/>
              <w:marTop w:val="0"/>
              <w:marBottom w:val="0"/>
              <w:divBdr>
                <w:top w:val="none" w:sz="0" w:space="0" w:color="auto"/>
                <w:left w:val="none" w:sz="0" w:space="0" w:color="auto"/>
                <w:bottom w:val="none" w:sz="0" w:space="0" w:color="auto"/>
                <w:right w:val="none" w:sz="0" w:space="0" w:color="auto"/>
              </w:divBdr>
            </w:div>
            <w:div w:id="26033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74500">
      <w:bodyDiv w:val="1"/>
      <w:marLeft w:val="0"/>
      <w:marRight w:val="0"/>
      <w:marTop w:val="0"/>
      <w:marBottom w:val="0"/>
      <w:divBdr>
        <w:top w:val="none" w:sz="0" w:space="0" w:color="auto"/>
        <w:left w:val="none" w:sz="0" w:space="0" w:color="auto"/>
        <w:bottom w:val="none" w:sz="0" w:space="0" w:color="auto"/>
        <w:right w:val="none" w:sz="0" w:space="0" w:color="auto"/>
      </w:divBdr>
    </w:div>
    <w:div w:id="2026785923">
      <w:bodyDiv w:val="1"/>
      <w:marLeft w:val="0"/>
      <w:marRight w:val="0"/>
      <w:marTop w:val="0"/>
      <w:marBottom w:val="0"/>
      <w:divBdr>
        <w:top w:val="none" w:sz="0" w:space="0" w:color="auto"/>
        <w:left w:val="none" w:sz="0" w:space="0" w:color="auto"/>
        <w:bottom w:val="none" w:sz="0" w:space="0" w:color="auto"/>
        <w:right w:val="none" w:sz="0" w:space="0" w:color="auto"/>
      </w:divBdr>
      <w:divsChild>
        <w:div w:id="163598233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8B5E0-4556-4CA7-A452-45AA3079A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7780</Words>
  <Characters>44347</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52023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Boryana Harlova</dc:creator>
  <cp:lastModifiedBy>Lachezar Vasilev</cp:lastModifiedBy>
  <cp:revision>2</cp:revision>
  <cp:lastPrinted>2019-09-13T08:54:00Z</cp:lastPrinted>
  <dcterms:created xsi:type="dcterms:W3CDTF">2019-09-19T05:09:00Z</dcterms:created>
  <dcterms:modified xsi:type="dcterms:W3CDTF">2019-09-19T05:09:00Z</dcterms:modified>
</cp:coreProperties>
</file>